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 w:val="44"/>
          <w:szCs w:val="44"/>
          <w:highlight w:val="none"/>
          <w:lang w:val="en-US" w:eastAsia="zh-CN"/>
        </w:rPr>
        <w:t>项目交易条件说明</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2"/>
          <w:szCs w:val="32"/>
          <w:highlight w:val="none"/>
          <w:lang w:val="en-US" w:eastAsia="zh-CN"/>
        </w:rPr>
        <w:t>一、项目</w:t>
      </w:r>
      <w:r>
        <w:rPr>
          <w:rFonts w:hint="default" w:ascii="Times New Roman" w:hAnsi="Times New Roman" w:eastAsia="黑体" w:cs="Times New Roman"/>
          <w:color w:val="auto"/>
          <w:sz w:val="32"/>
          <w:szCs w:val="32"/>
          <w:highlight w:val="none"/>
        </w:rPr>
        <w:t>情况</w:t>
      </w:r>
    </w:p>
    <w:p>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（一）项目名称：</w:t>
      </w:r>
      <w:r>
        <w:rPr>
          <w:rFonts w:hint="default" w:ascii="Times New Roman" w:hAnsi="Times New Roman" w:eastAsia="仿宋_GB2312" w:cs="Times New Roman"/>
          <w:color w:val="auto"/>
          <w:sz w:val="32"/>
          <w:szCs w:val="32"/>
          <w:highlight w:val="none"/>
          <w:lang w:eastAsia="zh-CN"/>
        </w:rPr>
        <w:t>惠州市惠南产城发展有限公司废旧金属（第一批第一次）转让项目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dstrike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（二）标的内容：</w:t>
      </w:r>
      <w:r>
        <w:rPr>
          <w:rFonts w:hint="default" w:ascii="Times New Roman" w:hAnsi="Times New Roman" w:eastAsia="仿宋_GB2312" w:cs="Times New Roman"/>
          <w:color w:val="auto"/>
          <w:sz w:val="32"/>
          <w:szCs w:val="32"/>
          <w:highlight w:val="none"/>
        </w:rPr>
        <w:t>本标的</w:t>
      </w:r>
      <w:r>
        <w:rPr>
          <w:rFonts w:hint="eastAsia" w:ascii="Times New Roman" w:hAnsi="Times New Roman" w:eastAsia="仿宋_GB2312" w:cs="Times New Roman"/>
          <w:color w:val="auto"/>
          <w:sz w:val="32"/>
          <w:szCs w:val="32"/>
          <w:highlight w:val="none"/>
          <w:lang w:eastAsia="zh-CN"/>
        </w:rPr>
        <w:t>物</w:t>
      </w:r>
      <w:r>
        <w:rPr>
          <w:rFonts w:hint="default" w:ascii="Times New Roman" w:hAnsi="Times New Roman" w:eastAsia="仿宋_GB2312" w:cs="Times New Roman"/>
          <w:color w:val="auto"/>
          <w:sz w:val="32"/>
          <w:szCs w:val="32"/>
          <w:highlight w:val="none"/>
        </w:rPr>
        <w:t>是指</w:t>
      </w:r>
      <w:r>
        <w:rPr>
          <w:rFonts w:hint="default" w:ascii="Times New Roman" w:hAnsi="Times New Roman" w:eastAsia="仿宋_GB2312" w:cs="Times New Roman"/>
          <w:color w:val="auto"/>
          <w:sz w:val="32"/>
          <w:szCs w:val="32"/>
          <w:highlight w:val="none"/>
          <w:lang w:val="en-US" w:eastAsia="zh-CN"/>
        </w:rPr>
        <w:t>惠州市惠南产城发展有限公司</w:t>
      </w:r>
      <w:r>
        <w:rPr>
          <w:rFonts w:hint="eastAsia" w:ascii="Times New Roman" w:hAnsi="Times New Roman" w:eastAsia="仿宋_GB2312" w:cs="Times New Roman"/>
          <w:color w:val="auto"/>
          <w:sz w:val="32"/>
          <w:szCs w:val="32"/>
          <w:highlight w:val="none"/>
          <w:lang w:val="en-US" w:eastAsia="zh-CN"/>
        </w:rPr>
        <w:t>拟公开处置的</w:t>
      </w:r>
      <w:r>
        <w:rPr>
          <w:rFonts w:hint="default" w:ascii="Times New Roman" w:hAnsi="Times New Roman" w:eastAsia="仿宋_GB2312" w:cs="Times New Roman"/>
          <w:color w:val="auto"/>
          <w:sz w:val="32"/>
          <w:szCs w:val="32"/>
          <w:highlight w:val="none"/>
          <w:lang w:val="en-US" w:eastAsia="zh-CN"/>
        </w:rPr>
        <w:t>一批废旧金属</w:t>
      </w:r>
      <w:r>
        <w:rPr>
          <w:rFonts w:hint="eastAsia" w:ascii="Times New Roman" w:hAnsi="Times New Roman" w:eastAsia="仿宋_GB2312" w:cs="Times New Roman"/>
          <w:color w:val="auto"/>
          <w:sz w:val="32"/>
          <w:szCs w:val="32"/>
          <w:highlight w:val="none"/>
          <w:lang w:val="en-US" w:eastAsia="zh-CN"/>
        </w:rPr>
        <w:t>，共2项，</w:t>
      </w:r>
      <w:r>
        <w:rPr>
          <w:rFonts w:hint="default" w:ascii="Times New Roman" w:hAnsi="Times New Roman" w:eastAsia="仿宋_GB2312" w:cs="Times New Roman"/>
          <w:color w:val="auto"/>
          <w:sz w:val="32"/>
          <w:szCs w:val="32"/>
          <w:highlight w:val="none"/>
          <w:lang w:val="en-US" w:eastAsia="zh-CN"/>
        </w:rPr>
        <w:t>主要为废钢废铁635.37</w:t>
      </w:r>
      <w:r>
        <w:rPr>
          <w:rFonts w:hint="eastAsia" w:ascii="Times New Roman" w:hAnsi="Times New Roman" w:eastAsia="仿宋_GB2312" w:cs="Times New Roman"/>
          <w:color w:val="auto"/>
          <w:sz w:val="32"/>
          <w:szCs w:val="32"/>
          <w:highlight w:val="none"/>
          <w:lang w:val="en-US" w:eastAsia="zh-CN"/>
        </w:rPr>
        <w:t>吨</w:t>
      </w:r>
      <w:r>
        <w:rPr>
          <w:rFonts w:hint="default" w:ascii="Times New Roman" w:hAnsi="Times New Roman" w:eastAsia="仿宋_GB2312" w:cs="Times New Roman"/>
          <w:color w:val="auto"/>
          <w:sz w:val="32"/>
          <w:szCs w:val="32"/>
          <w:highlight w:val="none"/>
          <w:lang w:val="en-US" w:eastAsia="zh-CN"/>
        </w:rPr>
        <w:t>、废不锈钢19.40</w:t>
      </w:r>
      <w:r>
        <w:rPr>
          <w:rFonts w:hint="eastAsia" w:ascii="Times New Roman" w:hAnsi="Times New Roman" w:eastAsia="仿宋_GB2312" w:cs="Times New Roman"/>
          <w:color w:val="auto"/>
          <w:sz w:val="32"/>
          <w:szCs w:val="32"/>
          <w:highlight w:val="none"/>
          <w:lang w:val="en-US" w:eastAsia="zh-CN"/>
        </w:rPr>
        <w:t>吨，</w:t>
      </w:r>
      <w:r>
        <w:rPr>
          <w:rFonts w:hint="default" w:ascii="Times New Roman" w:hAnsi="Times New Roman" w:eastAsia="仿宋_GB2312" w:cs="Times New Roman"/>
          <w:color w:val="auto"/>
          <w:sz w:val="32"/>
          <w:szCs w:val="32"/>
          <w:highlight w:val="none"/>
          <w:lang w:val="en-US" w:eastAsia="zh-CN"/>
        </w:rPr>
        <w:t>具体详见</w:t>
      </w:r>
      <w:r>
        <w:rPr>
          <w:rFonts w:hint="eastAsia" w:ascii="Times New Roman" w:hAnsi="Times New Roman" w:eastAsia="仿宋_GB2312" w:cs="Times New Roman"/>
          <w:color w:val="auto"/>
          <w:sz w:val="32"/>
          <w:szCs w:val="32"/>
          <w:highlight w:val="none"/>
          <w:lang w:val="en-US" w:eastAsia="zh-CN"/>
        </w:rPr>
        <w:t>附件</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trike w:val="0"/>
          <w:dstrike w:val="0"/>
          <w:color w:val="auto"/>
          <w:sz w:val="32"/>
          <w:szCs w:val="32"/>
          <w:highlight w:val="none"/>
          <w:lang w:val="en-US" w:eastAsia="zh-CN"/>
        </w:rPr>
        <w:t>本项目以实物现状为准进行交易。</w:t>
      </w:r>
    </w:p>
    <w:p>
      <w:pPr>
        <w:pStyle w:val="4"/>
        <w:spacing w:line="560" w:lineRule="exact"/>
        <w:ind w:firstLine="640"/>
        <w:rPr>
          <w:rFonts w:hint="eastAsia" w:ascii="黑体" w:hAnsi="黑体" w:eastAsia="黑体" w:cs="黑体"/>
          <w:b w:val="0"/>
          <w:bCs/>
          <w:color w:val="auto"/>
          <w:highlight w:val="none"/>
        </w:rPr>
      </w:pPr>
      <w:r>
        <w:rPr>
          <w:rFonts w:hint="eastAsia" w:ascii="黑体" w:hAnsi="黑体" w:eastAsia="黑体" w:cs="黑体"/>
          <w:b w:val="0"/>
          <w:bCs/>
          <w:color w:val="auto"/>
          <w:highlight w:val="none"/>
          <w:lang w:eastAsia="zh-CN"/>
        </w:rPr>
        <w:t>二</w:t>
      </w:r>
      <w:r>
        <w:rPr>
          <w:rFonts w:hint="eastAsia" w:ascii="黑体" w:hAnsi="黑体" w:eastAsia="黑体" w:cs="黑体"/>
          <w:b w:val="0"/>
          <w:bCs/>
          <w:color w:val="auto"/>
          <w:highlight w:val="none"/>
        </w:rPr>
        <w:t>、挂牌起始价和增价幅度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底价为人民币</w:t>
      </w:r>
      <w:r>
        <w:rPr>
          <w:rFonts w:hint="default" w:ascii="Times New Roman" w:hAnsi="Times New Roman" w:eastAsia="仿宋" w:cs="Times New Roman"/>
          <w:color w:val="auto"/>
          <w:sz w:val="32"/>
          <w:szCs w:val="32"/>
          <w:highlight w:val="none"/>
          <w:u w:val="single"/>
          <w:lang w:val="en-US" w:eastAsia="zh-CN"/>
        </w:rPr>
        <w:t>171</w:t>
      </w:r>
      <w:r>
        <w:rPr>
          <w:rFonts w:hint="eastAsia" w:ascii="Times New Roman" w:hAnsi="Times New Roman" w:eastAsia="仿宋" w:cs="Times New Roman"/>
          <w:color w:val="auto"/>
          <w:sz w:val="32"/>
          <w:szCs w:val="32"/>
          <w:highlight w:val="none"/>
          <w:u w:val="single"/>
          <w:lang w:val="en-US" w:eastAsia="zh-CN"/>
        </w:rPr>
        <w:t>.</w:t>
      </w:r>
      <w:r>
        <w:rPr>
          <w:rFonts w:hint="default" w:ascii="Times New Roman" w:hAnsi="Times New Roman" w:eastAsia="仿宋" w:cs="Times New Roman"/>
          <w:color w:val="auto"/>
          <w:sz w:val="32"/>
          <w:szCs w:val="32"/>
          <w:highlight w:val="none"/>
          <w:u w:val="single"/>
          <w:lang w:val="en-US" w:eastAsia="zh-CN"/>
        </w:rPr>
        <w:t>8888</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（不含税）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竞价保证金</w:t>
      </w:r>
      <w:r>
        <w:rPr>
          <w:rFonts w:hint="eastAsia" w:ascii="Times New Roman" w:hAnsi="Times New Roman" w:eastAsia="仿宋" w:cs="Times New Roman"/>
          <w:color w:val="auto"/>
          <w:kern w:val="2"/>
          <w:sz w:val="32"/>
          <w:szCs w:val="32"/>
          <w:highlight w:val="none"/>
          <w:u w:val="single"/>
          <w:lang w:val="en-US" w:eastAsia="zh-CN"/>
        </w:rPr>
        <w:t>34</w:t>
      </w:r>
      <w:r>
        <w:rPr>
          <w:rFonts w:hint="default" w:ascii="Times New Roman" w:hAnsi="Times New Roman" w:eastAsia="仿宋_GB2312" w:cs="Times New Roman"/>
          <w:color w:val="auto"/>
          <w:sz w:val="32"/>
          <w:szCs w:val="32"/>
          <w:highlight w:val="none"/>
          <w:lang w:val="en-US" w:eastAsia="zh-CN"/>
        </w:rPr>
        <w:t>万元，加价幅度为人民币</w:t>
      </w:r>
      <w:r>
        <w:rPr>
          <w:rFonts w:hint="default" w:ascii="Times New Roman" w:hAnsi="Times New Roman" w:eastAsia="仿宋_GB2312" w:cs="Times New Roman"/>
          <w:color w:val="auto"/>
          <w:sz w:val="32"/>
          <w:szCs w:val="32"/>
          <w:highlight w:val="none"/>
          <w:u w:val="single"/>
          <w:lang w:val="en-US" w:eastAsia="zh-CN"/>
        </w:rPr>
        <w:t>1</w:t>
      </w:r>
      <w:r>
        <w:rPr>
          <w:rFonts w:hint="default" w:ascii="Times New Roman" w:hAnsi="Times New Roman" w:eastAsia="仿宋_GB2312" w:cs="Times New Roman"/>
          <w:color w:val="auto"/>
          <w:sz w:val="32"/>
          <w:szCs w:val="32"/>
          <w:highlight w:val="none"/>
          <w:lang w:val="en-US" w:eastAsia="zh-CN"/>
        </w:rPr>
        <w:t>万元的整数倍</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、项目交易条件和要求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竞价人</w:t>
      </w:r>
      <w:r>
        <w:rPr>
          <w:rFonts w:hint="default" w:ascii="Times New Roman" w:hAnsi="Times New Roman" w:eastAsia="仿宋_GB2312" w:cs="Times New Roman"/>
          <w:color w:val="auto"/>
          <w:sz w:val="32"/>
          <w:szCs w:val="32"/>
          <w:highlight w:val="none"/>
        </w:rPr>
        <w:t>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标的物以实物现状为准，所有竞价人在竞价前有权前往现场查看、进行尽职调查，一旦参与竞价，均视为对已对标的物进行了尽职调查，现场查看并详细确认了标的物的具体信息，完全认可接受标的物</w:t>
      </w:r>
      <w:r>
        <w:rPr>
          <w:rFonts w:hint="eastAsia" w:ascii="仿宋_GB2312" w:hAnsi="仿宋_GB2312" w:eastAsia="仿宋_GB2312" w:cs="仿宋_GB2312"/>
          <w:b w:val="0"/>
          <w:bCs w:val="0"/>
          <w:color w:val="auto"/>
          <w:sz w:val="32"/>
          <w:szCs w:val="32"/>
          <w:highlight w:val="none"/>
          <w:lang w:val="en-US" w:eastAsia="zh-CN"/>
        </w:rPr>
        <w:t>现状、误差和瑕疵，</w:t>
      </w:r>
      <w:r>
        <w:rPr>
          <w:rFonts w:hint="eastAsia" w:ascii="仿宋_GB2312" w:hAnsi="仿宋_GB2312" w:eastAsia="仿宋_GB2312" w:cs="仿宋_GB2312"/>
          <w:color w:val="auto"/>
          <w:sz w:val="32"/>
          <w:szCs w:val="32"/>
          <w:highlight w:val="none"/>
          <w:lang w:val="en-US" w:eastAsia="zh-CN"/>
        </w:rPr>
        <w:t>同意按标的物现状进行受让，同意承担由此而产生的一切风险和损失。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i w:val="0"/>
          <w:i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转让底价为不包含增值税价格，标的物转让所产生的税</w:t>
      </w:r>
      <w:r>
        <w:rPr>
          <w:rFonts w:hint="default" w:ascii="Times New Roman" w:hAnsi="Times New Roman" w:eastAsia="仿宋_GB2312" w:cs="Times New Roman"/>
          <w:color w:val="auto"/>
          <w:sz w:val="32"/>
          <w:szCs w:val="32"/>
          <w:highlight w:val="none"/>
          <w:lang w:val="en-US" w:eastAsia="zh-CN"/>
        </w:rPr>
        <w:t>费（13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增值税）</w:t>
      </w:r>
      <w:r>
        <w:rPr>
          <w:rFonts w:hint="eastAsia" w:ascii="仿宋_GB2312" w:hAnsi="仿宋_GB2312" w:eastAsia="仿宋_GB2312" w:cs="仿宋_GB2312"/>
          <w:color w:val="auto"/>
          <w:sz w:val="32"/>
          <w:szCs w:val="32"/>
          <w:highlight w:val="none"/>
          <w:lang w:val="en-US" w:eastAsia="zh-CN"/>
        </w:rPr>
        <w:t>由受让方承担。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自行负责标的物的</w:t>
      </w:r>
      <w:r>
        <w:rPr>
          <w:rFonts w:hint="eastAsia" w:ascii="Times New Roman" w:hAnsi="Times New Roman" w:eastAsia="仿宋_GB2312" w:cs="Times New Roman"/>
          <w:color w:val="auto"/>
          <w:sz w:val="32"/>
          <w:szCs w:val="32"/>
          <w:highlight w:val="none"/>
          <w:lang w:eastAsia="zh-CN"/>
        </w:rPr>
        <w:t>装卸、</w:t>
      </w:r>
      <w:r>
        <w:rPr>
          <w:rFonts w:hint="default" w:ascii="Times New Roman" w:hAnsi="Times New Roman" w:eastAsia="仿宋_GB2312" w:cs="Times New Roman"/>
          <w:color w:val="auto"/>
          <w:sz w:val="32"/>
          <w:szCs w:val="32"/>
          <w:highlight w:val="none"/>
        </w:rPr>
        <w:t>运输</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场地垃圾清理等后续工作</w:t>
      </w:r>
      <w:r>
        <w:rPr>
          <w:rFonts w:hint="eastAsia" w:ascii="Times New Roman" w:hAnsi="Times New Roman" w:eastAsia="仿宋_GB2312" w:cs="Times New Roman"/>
          <w:color w:val="auto"/>
          <w:sz w:val="32"/>
          <w:szCs w:val="32"/>
          <w:highlight w:val="none"/>
          <w:lang w:eastAsia="zh-CN"/>
        </w:rPr>
        <w:t>及相关费用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受让方应在</w:t>
      </w:r>
      <w:r>
        <w:rPr>
          <w:rFonts w:hint="eastAsia" w:ascii="Times New Roman" w:hAnsi="Times New Roman" w:eastAsia="仿宋_GB2312" w:cs="Times New Roman"/>
          <w:color w:val="auto"/>
          <w:kern w:val="2"/>
          <w:sz w:val="32"/>
          <w:szCs w:val="32"/>
          <w:highlight w:val="none"/>
          <w:lang w:val="en-US" w:eastAsia="zh-CN" w:bidi="ar-SA"/>
        </w:rPr>
        <w:t>交易</w:t>
      </w:r>
      <w:r>
        <w:rPr>
          <w:rFonts w:hint="default" w:ascii="Times New Roman" w:hAnsi="Times New Roman" w:eastAsia="仿宋_GB2312" w:cs="Times New Roman"/>
          <w:color w:val="auto"/>
          <w:kern w:val="2"/>
          <w:sz w:val="32"/>
          <w:szCs w:val="32"/>
          <w:highlight w:val="none"/>
          <w:lang w:val="en-US" w:eastAsia="zh-CN" w:bidi="ar-SA"/>
        </w:rPr>
        <w:t>合同签订之日起</w:t>
      </w:r>
      <w:r>
        <w:rPr>
          <w:rFonts w:hint="default" w:ascii="Times New Roman" w:hAnsi="Times New Roman" w:eastAsia="仿宋_GB2312" w:cs="Times New Roman"/>
          <w:color w:val="auto"/>
          <w:kern w:val="2"/>
          <w:sz w:val="32"/>
          <w:szCs w:val="32"/>
          <w:highlight w:val="none"/>
          <w:u w:val="singl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个工作日内一次性支付</w:t>
      </w:r>
      <w:r>
        <w:rPr>
          <w:rFonts w:hint="default" w:ascii="Times New Roman" w:hAnsi="Times New Roman" w:eastAsia="仿宋_GB2312" w:cs="Times New Roman"/>
          <w:color w:val="auto"/>
          <w:sz w:val="32"/>
          <w:szCs w:val="32"/>
          <w:highlight w:val="none"/>
          <w:u w:val="none"/>
          <w:lang w:val="en-US" w:eastAsia="zh-CN"/>
        </w:rPr>
        <w:t>所有成交价款及产生的税费（13%增值税）</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受让方</w:t>
      </w:r>
      <w:r>
        <w:rPr>
          <w:rFonts w:hint="default" w:ascii="Times New Roman" w:hAnsi="Times New Roman" w:eastAsia="仿宋_GB2312" w:cs="Times New Roman"/>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kern w:val="0"/>
          <w:sz w:val="32"/>
          <w:szCs w:val="32"/>
          <w:highlight w:val="none"/>
          <w:lang w:bidi="ar-SA"/>
        </w:rPr>
        <w:t>全额支付货款后</w:t>
      </w:r>
      <w:r>
        <w:rPr>
          <w:rFonts w:hint="eastAsia" w:ascii="Times New Roman" w:hAnsi="Times New Roman" w:eastAsia="仿宋_GB2312" w:cs="Times New Roman"/>
          <w:color w:val="auto"/>
          <w:sz w:val="32"/>
          <w:szCs w:val="32"/>
          <w:highlight w:val="none"/>
          <w:u w:val="single"/>
          <w:lang w:val="en-US" w:eastAsia="zh-CN"/>
        </w:rPr>
        <w:t>15</w:t>
      </w:r>
      <w:r>
        <w:rPr>
          <w:rFonts w:hint="default" w:ascii="Times New Roman" w:hAnsi="Times New Roman" w:eastAsia="仿宋_GB2312" w:cs="Times New Roman"/>
          <w:color w:val="auto"/>
          <w:sz w:val="32"/>
          <w:szCs w:val="32"/>
          <w:highlight w:val="none"/>
          <w:lang w:val="en-US" w:eastAsia="zh-CN"/>
        </w:rPr>
        <w:t>日内，将场地内标的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全部搬离现场，逾期未全部搬离的，视为</w:t>
      </w:r>
      <w:r>
        <w:rPr>
          <w:rFonts w:hint="eastAsia" w:ascii="Times New Roman" w:hAnsi="Times New Roman" w:eastAsia="仿宋_GB2312" w:cs="Times New Roman"/>
          <w:color w:val="auto"/>
          <w:sz w:val="32"/>
          <w:szCs w:val="32"/>
          <w:highlight w:val="none"/>
          <w:lang w:val="en-US" w:eastAsia="zh-CN"/>
        </w:rPr>
        <w:t>受让方</w:t>
      </w:r>
      <w:r>
        <w:rPr>
          <w:rFonts w:hint="default" w:ascii="Times New Roman" w:hAnsi="Times New Roman" w:eastAsia="仿宋_GB2312" w:cs="Times New Roman"/>
          <w:color w:val="auto"/>
          <w:sz w:val="32"/>
          <w:szCs w:val="32"/>
          <w:highlight w:val="none"/>
          <w:lang w:val="en-US" w:eastAsia="zh-CN"/>
        </w:rPr>
        <w:t>自行放弃剩余标的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的处置权，</w:t>
      </w:r>
      <w:r>
        <w:rPr>
          <w:rFonts w:hint="eastAsia" w:ascii="Times New Roman" w:hAnsi="Times New Roman" w:eastAsia="仿宋_GB2312" w:cs="Times New Roman"/>
          <w:color w:val="auto"/>
          <w:sz w:val="32"/>
          <w:szCs w:val="32"/>
          <w:highlight w:val="none"/>
          <w:lang w:val="en-US" w:eastAsia="zh-CN"/>
        </w:rPr>
        <w:t>转让方</w:t>
      </w:r>
      <w:r>
        <w:rPr>
          <w:rFonts w:hint="default" w:ascii="Times New Roman" w:hAnsi="Times New Roman" w:eastAsia="仿宋_GB2312" w:cs="Times New Roman"/>
          <w:color w:val="auto"/>
          <w:sz w:val="32"/>
          <w:szCs w:val="32"/>
          <w:highlight w:val="none"/>
          <w:lang w:val="en-US" w:eastAsia="zh-CN"/>
        </w:rPr>
        <w:t>有权另行处置</w:t>
      </w:r>
      <w:r>
        <w:rPr>
          <w:rFonts w:hint="eastAsia" w:ascii="Times New Roman" w:hAnsi="Times New Roman" w:eastAsia="仿宋_GB2312" w:cs="Times New Roman"/>
          <w:color w:val="auto"/>
          <w:sz w:val="32"/>
          <w:szCs w:val="32"/>
          <w:highlight w:val="none"/>
          <w:lang w:val="en-US" w:eastAsia="zh-CN"/>
        </w:rPr>
        <w:t>该部分</w:t>
      </w:r>
      <w:r>
        <w:rPr>
          <w:rFonts w:hint="default" w:ascii="Times New Roman" w:hAnsi="Times New Roman" w:eastAsia="仿宋_GB2312" w:cs="Times New Roman"/>
          <w:color w:val="auto"/>
          <w:sz w:val="32"/>
          <w:szCs w:val="32"/>
          <w:highlight w:val="none"/>
          <w:lang w:val="en-US" w:eastAsia="zh-CN"/>
        </w:rPr>
        <w:t>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受让方</w:t>
      </w:r>
      <w:r>
        <w:rPr>
          <w:rFonts w:hint="eastAsia" w:ascii="Times New Roman" w:hAnsi="Times New Roman" w:eastAsia="仿宋_GB2312" w:cs="Times New Roman"/>
          <w:color w:val="auto"/>
          <w:kern w:val="0"/>
          <w:sz w:val="32"/>
          <w:szCs w:val="32"/>
          <w:highlight w:val="none"/>
          <w:lang w:val="en-US" w:eastAsia="zh-CN" w:bidi="ar-SA"/>
        </w:rPr>
        <w:t>对标的物进行转移出厂时</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bidi="ar-SA"/>
        </w:rPr>
        <w:t>需</w:t>
      </w:r>
      <w:r>
        <w:rPr>
          <w:rFonts w:hint="eastAsia" w:ascii="仿宋_GB2312" w:hAnsi="仿宋_GB2312" w:eastAsia="仿宋_GB2312" w:cs="仿宋_GB2312"/>
          <w:color w:val="auto"/>
          <w:sz w:val="32"/>
          <w:szCs w:val="32"/>
          <w:highlight w:val="none"/>
          <w:lang w:val="en-US" w:eastAsia="zh-CN"/>
        </w:rPr>
        <w:t>凭借与</w:t>
      </w:r>
      <w:r>
        <w:rPr>
          <w:rFonts w:hint="eastAsia" w:ascii="Times New Roman" w:hAnsi="Times New Roman" w:eastAsia="仿宋_GB2312" w:cs="Times New Roman"/>
          <w:color w:val="auto"/>
          <w:sz w:val="32"/>
          <w:szCs w:val="32"/>
          <w:highlight w:val="none"/>
          <w:lang w:eastAsia="zh-CN"/>
        </w:rPr>
        <w:t>转让方办理的资产移交手续</w:t>
      </w:r>
      <w:r>
        <w:rPr>
          <w:rFonts w:hint="default" w:ascii="Times New Roman" w:hAnsi="Times New Roman" w:eastAsia="仿宋_GB2312" w:cs="Times New Roman"/>
          <w:color w:val="auto"/>
          <w:sz w:val="32"/>
          <w:szCs w:val="32"/>
          <w:highlight w:val="none"/>
        </w:rPr>
        <w:t>，标的物的风险自标的物移交之日起转移给</w:t>
      </w:r>
      <w:r>
        <w:rPr>
          <w:rFonts w:hint="eastAsia"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，即自办理移交手续之日起，</w:t>
      </w:r>
      <w:r>
        <w:rPr>
          <w:rFonts w:hint="eastAsia"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承担标的物的保管、安全等管理责任。</w:t>
      </w:r>
      <w:r>
        <w:rPr>
          <w:rFonts w:hint="eastAsia" w:ascii="Times New Roman" w:hAnsi="Times New Roman" w:eastAsia="仿宋_GB2312" w:cs="Times New Roman"/>
          <w:color w:val="auto"/>
          <w:sz w:val="32"/>
          <w:szCs w:val="32"/>
          <w:highlight w:val="none"/>
          <w:lang w:eastAsia="zh-CN"/>
        </w:rPr>
        <w:t>其他约定事项详见合同范本。</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其他事项</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网上挂牌竞价结果公示期为3个工作日，公示期无异议的成交候选人在公示期结束后5个工作日内到惠州市公共资源交易中心仲恺分中心办理正式成交手续，成交手续办理后5个工作日内与</w:t>
      </w:r>
      <w:r>
        <w:rPr>
          <w:rFonts w:hint="eastAsia" w:ascii="Times New Roman" w:hAnsi="Times New Roman" w:eastAsia="仿宋_GB2312" w:cs="Times New Roman"/>
          <w:color w:val="auto"/>
          <w:sz w:val="32"/>
          <w:szCs w:val="32"/>
          <w:highlight w:val="none"/>
          <w:lang w:val="en-US" w:eastAsia="zh-CN"/>
        </w:rPr>
        <w:t>转让方</w:t>
      </w:r>
      <w:r>
        <w:rPr>
          <w:rFonts w:hint="default" w:ascii="Times New Roman" w:hAnsi="Times New Roman" w:eastAsia="仿宋_GB2312" w:cs="Times New Roman"/>
          <w:color w:val="auto"/>
          <w:sz w:val="32"/>
          <w:szCs w:val="32"/>
          <w:highlight w:val="none"/>
          <w:lang w:val="en-US" w:eastAsia="zh-CN"/>
        </w:rPr>
        <w:t>签订转让合同。</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未成交人交纳的竞价保证金，在限时竞价结束之日起5个工作日内原路原额退回。成交人交纳的竞价保证金，自向惠州市公共资源交易中心仲恺分中心提交转让合同原件起5个工作日内原路原额退回。</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风险提示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7.构成违约责任的其他行为。</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惠州市惠南产城发展有限公司</w:t>
      </w:r>
      <w:r>
        <w:rPr>
          <w:rFonts w:hint="default" w:ascii="Times New Roman" w:hAnsi="Times New Roman" w:eastAsia="仿宋_GB2312" w:cs="Times New Roman"/>
          <w:color w:val="auto"/>
          <w:sz w:val="32"/>
          <w:szCs w:val="32"/>
          <w:highlight w:val="none"/>
          <w:lang w:val="en-US" w:eastAsia="zh-CN"/>
        </w:rPr>
        <w:t>  咨询电话：肖先生 18681136997</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1F0D9"/>
    <w:multiLevelType w:val="singleLevel"/>
    <w:tmpl w:val="A881F0D9"/>
    <w:lvl w:ilvl="0" w:tentative="0">
      <w:start w:val="1"/>
      <w:numFmt w:val="chineseCounting"/>
      <w:suff w:val="nothing"/>
      <w:lvlText w:val="（%1）"/>
      <w:lvlJc w:val="left"/>
      <w:pPr>
        <w:ind w:left="0" w:firstLine="420"/>
      </w:pPr>
      <w:rPr>
        <w:rFonts w:hint="eastAsia" w:ascii="方正仿宋_GB2312" w:hAnsi="方正仿宋_GB2312" w:eastAsia="方正仿宋_GB2312" w:cs="方正仿宋_GB2312"/>
        <w:sz w:val="32"/>
        <w:szCs w:val="32"/>
      </w:rPr>
    </w:lvl>
  </w:abstractNum>
  <w:abstractNum w:abstractNumId="1">
    <w:nsid w:val="B14FD324"/>
    <w:multiLevelType w:val="singleLevel"/>
    <w:tmpl w:val="B14FD324"/>
    <w:lvl w:ilvl="0" w:tentative="0">
      <w:start w:val="1"/>
      <w:numFmt w:val="chineseCounting"/>
      <w:suff w:val="nothing"/>
      <w:lvlText w:val="（%1）"/>
      <w:lvlJc w:val="left"/>
      <w:pPr>
        <w:ind w:left="0" w:firstLine="420"/>
      </w:pPr>
      <w:rPr>
        <w:rFonts w:hint="eastAsia"/>
      </w:rPr>
    </w:lvl>
  </w:abstractNum>
  <w:abstractNum w:abstractNumId="2">
    <w:nsid w:val="5C98D09F"/>
    <w:multiLevelType w:val="singleLevel"/>
    <w:tmpl w:val="5C98D09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MTkzNzI5ODgxZWVlYmJjZjk4MDBiNDE1NzdkZTkifQ=="/>
  </w:docVars>
  <w:rsids>
    <w:rsidRoot w:val="00385E5E"/>
    <w:rsid w:val="001C7352"/>
    <w:rsid w:val="002716CD"/>
    <w:rsid w:val="0029741A"/>
    <w:rsid w:val="002E591E"/>
    <w:rsid w:val="00362129"/>
    <w:rsid w:val="00373467"/>
    <w:rsid w:val="00385D53"/>
    <w:rsid w:val="00385E5E"/>
    <w:rsid w:val="003F77B6"/>
    <w:rsid w:val="0045015A"/>
    <w:rsid w:val="0049438E"/>
    <w:rsid w:val="00516709"/>
    <w:rsid w:val="005210D8"/>
    <w:rsid w:val="0058060C"/>
    <w:rsid w:val="008A632D"/>
    <w:rsid w:val="00906F55"/>
    <w:rsid w:val="00944EE9"/>
    <w:rsid w:val="00A233CB"/>
    <w:rsid w:val="00A9379A"/>
    <w:rsid w:val="00CD1509"/>
    <w:rsid w:val="00CD1F94"/>
    <w:rsid w:val="00EE3CCF"/>
    <w:rsid w:val="00F20114"/>
    <w:rsid w:val="00FC6724"/>
    <w:rsid w:val="016E1BA8"/>
    <w:rsid w:val="01B55A6D"/>
    <w:rsid w:val="022D5EE6"/>
    <w:rsid w:val="02634AC0"/>
    <w:rsid w:val="02A62E3F"/>
    <w:rsid w:val="02AA7FFC"/>
    <w:rsid w:val="03233C26"/>
    <w:rsid w:val="04A83B5B"/>
    <w:rsid w:val="05897569"/>
    <w:rsid w:val="05902474"/>
    <w:rsid w:val="05A21435"/>
    <w:rsid w:val="05A67930"/>
    <w:rsid w:val="05B305FD"/>
    <w:rsid w:val="05B576D0"/>
    <w:rsid w:val="05EA1AEE"/>
    <w:rsid w:val="062F79AC"/>
    <w:rsid w:val="064D4499"/>
    <w:rsid w:val="06846701"/>
    <w:rsid w:val="06FC610A"/>
    <w:rsid w:val="07292C4C"/>
    <w:rsid w:val="072C292B"/>
    <w:rsid w:val="077A6575"/>
    <w:rsid w:val="07B507EF"/>
    <w:rsid w:val="07C25E63"/>
    <w:rsid w:val="07D86C7E"/>
    <w:rsid w:val="08085A40"/>
    <w:rsid w:val="0862771A"/>
    <w:rsid w:val="0897489F"/>
    <w:rsid w:val="08B61C4D"/>
    <w:rsid w:val="09686921"/>
    <w:rsid w:val="09811C10"/>
    <w:rsid w:val="09D15535"/>
    <w:rsid w:val="09E066E7"/>
    <w:rsid w:val="09FC30DE"/>
    <w:rsid w:val="0A4D4CE6"/>
    <w:rsid w:val="0A645EAE"/>
    <w:rsid w:val="0A674BA2"/>
    <w:rsid w:val="0B3F0DED"/>
    <w:rsid w:val="0BE1258C"/>
    <w:rsid w:val="0BEE1334"/>
    <w:rsid w:val="0C074E66"/>
    <w:rsid w:val="0D51729D"/>
    <w:rsid w:val="0D8133F3"/>
    <w:rsid w:val="0E185D81"/>
    <w:rsid w:val="0E3B4999"/>
    <w:rsid w:val="0E3D692C"/>
    <w:rsid w:val="0EA50A0A"/>
    <w:rsid w:val="0F0210A7"/>
    <w:rsid w:val="0F555460"/>
    <w:rsid w:val="0FA762BA"/>
    <w:rsid w:val="0FAC0207"/>
    <w:rsid w:val="0FCF14FF"/>
    <w:rsid w:val="10337318"/>
    <w:rsid w:val="104258B0"/>
    <w:rsid w:val="10607ECB"/>
    <w:rsid w:val="1066426D"/>
    <w:rsid w:val="11363AC8"/>
    <w:rsid w:val="11A37B3F"/>
    <w:rsid w:val="11A9550D"/>
    <w:rsid w:val="11DC6ADF"/>
    <w:rsid w:val="129B01AB"/>
    <w:rsid w:val="13240FE6"/>
    <w:rsid w:val="137336AE"/>
    <w:rsid w:val="142C636E"/>
    <w:rsid w:val="14465C2C"/>
    <w:rsid w:val="149755F5"/>
    <w:rsid w:val="14AF0A4E"/>
    <w:rsid w:val="14B94D3D"/>
    <w:rsid w:val="153D7A8F"/>
    <w:rsid w:val="156B7E68"/>
    <w:rsid w:val="159373A5"/>
    <w:rsid w:val="16084E4A"/>
    <w:rsid w:val="16496E52"/>
    <w:rsid w:val="166F370F"/>
    <w:rsid w:val="17437D3B"/>
    <w:rsid w:val="178D32DB"/>
    <w:rsid w:val="17E738F4"/>
    <w:rsid w:val="17F31402"/>
    <w:rsid w:val="180B6681"/>
    <w:rsid w:val="182954DB"/>
    <w:rsid w:val="18A76D00"/>
    <w:rsid w:val="18E61223"/>
    <w:rsid w:val="191A7522"/>
    <w:rsid w:val="19403AA2"/>
    <w:rsid w:val="1A491C1E"/>
    <w:rsid w:val="1A5417A5"/>
    <w:rsid w:val="1A741662"/>
    <w:rsid w:val="1A993A7A"/>
    <w:rsid w:val="1ACC3F55"/>
    <w:rsid w:val="1AD7397C"/>
    <w:rsid w:val="1B4D2CD2"/>
    <w:rsid w:val="1BCB46BE"/>
    <w:rsid w:val="1C1C12C4"/>
    <w:rsid w:val="1C4169D7"/>
    <w:rsid w:val="1C876837"/>
    <w:rsid w:val="1C8E30F5"/>
    <w:rsid w:val="1CB53E4C"/>
    <w:rsid w:val="1D857969"/>
    <w:rsid w:val="1D9011EB"/>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D966BA"/>
    <w:rsid w:val="21EA5999"/>
    <w:rsid w:val="222E1A83"/>
    <w:rsid w:val="22701731"/>
    <w:rsid w:val="22742DA2"/>
    <w:rsid w:val="231B1C2C"/>
    <w:rsid w:val="232D430E"/>
    <w:rsid w:val="236200D2"/>
    <w:rsid w:val="24097884"/>
    <w:rsid w:val="24173F67"/>
    <w:rsid w:val="242B7F7C"/>
    <w:rsid w:val="24370470"/>
    <w:rsid w:val="24472D8A"/>
    <w:rsid w:val="24484AC8"/>
    <w:rsid w:val="244B1B1F"/>
    <w:rsid w:val="245401AF"/>
    <w:rsid w:val="245B218D"/>
    <w:rsid w:val="24D40B6B"/>
    <w:rsid w:val="25DF4A2F"/>
    <w:rsid w:val="2606111D"/>
    <w:rsid w:val="26626A8C"/>
    <w:rsid w:val="269C6883"/>
    <w:rsid w:val="26E3554F"/>
    <w:rsid w:val="26FE3ABF"/>
    <w:rsid w:val="271C3B9F"/>
    <w:rsid w:val="2774627A"/>
    <w:rsid w:val="2794221E"/>
    <w:rsid w:val="2801230B"/>
    <w:rsid w:val="281C6181"/>
    <w:rsid w:val="281F354B"/>
    <w:rsid w:val="28504F39"/>
    <w:rsid w:val="288D156E"/>
    <w:rsid w:val="29E94E1D"/>
    <w:rsid w:val="2A2E2974"/>
    <w:rsid w:val="2A841E7E"/>
    <w:rsid w:val="2A9E2D59"/>
    <w:rsid w:val="2AB502C3"/>
    <w:rsid w:val="2B163A71"/>
    <w:rsid w:val="2B31427C"/>
    <w:rsid w:val="2B503EB2"/>
    <w:rsid w:val="2B5241EC"/>
    <w:rsid w:val="2B6B72D6"/>
    <w:rsid w:val="2BB91D98"/>
    <w:rsid w:val="2BCD28D6"/>
    <w:rsid w:val="2BF00FBF"/>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A20C1D"/>
    <w:rsid w:val="2EE6341D"/>
    <w:rsid w:val="2EE8322E"/>
    <w:rsid w:val="2EF12D5F"/>
    <w:rsid w:val="2F434D05"/>
    <w:rsid w:val="2F4E7A3A"/>
    <w:rsid w:val="2F526760"/>
    <w:rsid w:val="2F535552"/>
    <w:rsid w:val="2FB56650"/>
    <w:rsid w:val="300E776C"/>
    <w:rsid w:val="303776AE"/>
    <w:rsid w:val="307D0062"/>
    <w:rsid w:val="309D6D40"/>
    <w:rsid w:val="30A905F6"/>
    <w:rsid w:val="311A594B"/>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6E56B24"/>
    <w:rsid w:val="37350500"/>
    <w:rsid w:val="377A25E8"/>
    <w:rsid w:val="37E03370"/>
    <w:rsid w:val="393110B7"/>
    <w:rsid w:val="394B77C6"/>
    <w:rsid w:val="395319E5"/>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CDF1CD3"/>
    <w:rsid w:val="3DD5585C"/>
    <w:rsid w:val="3E5E2B26"/>
    <w:rsid w:val="3EF229C2"/>
    <w:rsid w:val="3EFD1C88"/>
    <w:rsid w:val="3FAE55EA"/>
    <w:rsid w:val="3FBC195A"/>
    <w:rsid w:val="3FC17BA4"/>
    <w:rsid w:val="3FD96780"/>
    <w:rsid w:val="3FEE4859"/>
    <w:rsid w:val="401246F2"/>
    <w:rsid w:val="40436CF3"/>
    <w:rsid w:val="404C33B5"/>
    <w:rsid w:val="40B56A73"/>
    <w:rsid w:val="40F23D40"/>
    <w:rsid w:val="41082BA1"/>
    <w:rsid w:val="411B49F3"/>
    <w:rsid w:val="42317A80"/>
    <w:rsid w:val="42817EEA"/>
    <w:rsid w:val="43A408D1"/>
    <w:rsid w:val="43AC1B2A"/>
    <w:rsid w:val="43C62855"/>
    <w:rsid w:val="43E55F06"/>
    <w:rsid w:val="4430522A"/>
    <w:rsid w:val="44441ECF"/>
    <w:rsid w:val="450B263A"/>
    <w:rsid w:val="450F6DAF"/>
    <w:rsid w:val="45861318"/>
    <w:rsid w:val="458D613D"/>
    <w:rsid w:val="45BF2F58"/>
    <w:rsid w:val="45C5309C"/>
    <w:rsid w:val="45E136C0"/>
    <w:rsid w:val="466452B5"/>
    <w:rsid w:val="467C1075"/>
    <w:rsid w:val="46F74436"/>
    <w:rsid w:val="47227A7A"/>
    <w:rsid w:val="472B59EC"/>
    <w:rsid w:val="47941CF8"/>
    <w:rsid w:val="479B3B5E"/>
    <w:rsid w:val="47B82C70"/>
    <w:rsid w:val="48006310"/>
    <w:rsid w:val="481E3E43"/>
    <w:rsid w:val="48216929"/>
    <w:rsid w:val="482779FA"/>
    <w:rsid w:val="485D18E5"/>
    <w:rsid w:val="4879215B"/>
    <w:rsid w:val="48886C12"/>
    <w:rsid w:val="48967D90"/>
    <w:rsid w:val="49543158"/>
    <w:rsid w:val="495A4ABE"/>
    <w:rsid w:val="497A7779"/>
    <w:rsid w:val="497C6B18"/>
    <w:rsid w:val="4993565B"/>
    <w:rsid w:val="4A015162"/>
    <w:rsid w:val="4A1F4374"/>
    <w:rsid w:val="4A217D12"/>
    <w:rsid w:val="4A2D3F8B"/>
    <w:rsid w:val="4A3E71F0"/>
    <w:rsid w:val="4A4517B4"/>
    <w:rsid w:val="4A7B176D"/>
    <w:rsid w:val="4A8B34FB"/>
    <w:rsid w:val="4A8E242D"/>
    <w:rsid w:val="4AAD5AA1"/>
    <w:rsid w:val="4AF30B54"/>
    <w:rsid w:val="4AFC1D90"/>
    <w:rsid w:val="4B457E62"/>
    <w:rsid w:val="4B4A7120"/>
    <w:rsid w:val="4C0E75A1"/>
    <w:rsid w:val="4C196C7A"/>
    <w:rsid w:val="4C4C0B06"/>
    <w:rsid w:val="4CC34FAF"/>
    <w:rsid w:val="4CFD20D2"/>
    <w:rsid w:val="4D6724A7"/>
    <w:rsid w:val="4D74387C"/>
    <w:rsid w:val="4DA974F1"/>
    <w:rsid w:val="4E616D84"/>
    <w:rsid w:val="4E7B7EC9"/>
    <w:rsid w:val="4E980689"/>
    <w:rsid w:val="4F4C2B48"/>
    <w:rsid w:val="4FC44316"/>
    <w:rsid w:val="50377E37"/>
    <w:rsid w:val="511A2A03"/>
    <w:rsid w:val="5137367B"/>
    <w:rsid w:val="513F78F1"/>
    <w:rsid w:val="515743AD"/>
    <w:rsid w:val="515E796C"/>
    <w:rsid w:val="5169171D"/>
    <w:rsid w:val="517660D5"/>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235A6"/>
    <w:rsid w:val="570A7582"/>
    <w:rsid w:val="57550741"/>
    <w:rsid w:val="5768009F"/>
    <w:rsid w:val="57706447"/>
    <w:rsid w:val="57746118"/>
    <w:rsid w:val="57B87D75"/>
    <w:rsid w:val="587E1CFC"/>
    <w:rsid w:val="58DA7953"/>
    <w:rsid w:val="59030EC7"/>
    <w:rsid w:val="59222797"/>
    <w:rsid w:val="592C38B6"/>
    <w:rsid w:val="595F0497"/>
    <w:rsid w:val="59E102B1"/>
    <w:rsid w:val="59F01630"/>
    <w:rsid w:val="5AAB6E8F"/>
    <w:rsid w:val="5ACC37DC"/>
    <w:rsid w:val="5ACE32A8"/>
    <w:rsid w:val="5AF23621"/>
    <w:rsid w:val="5AF24766"/>
    <w:rsid w:val="5BA82D79"/>
    <w:rsid w:val="5BD94F89"/>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6D2D36"/>
    <w:rsid w:val="6889493F"/>
    <w:rsid w:val="68CC364C"/>
    <w:rsid w:val="699A76D0"/>
    <w:rsid w:val="69C441F4"/>
    <w:rsid w:val="69D41338"/>
    <w:rsid w:val="69FF5C8B"/>
    <w:rsid w:val="6A407241"/>
    <w:rsid w:val="6A5D5EB8"/>
    <w:rsid w:val="6AA92D78"/>
    <w:rsid w:val="6AE05905"/>
    <w:rsid w:val="6B4852AD"/>
    <w:rsid w:val="6B553F46"/>
    <w:rsid w:val="6BDD159D"/>
    <w:rsid w:val="6C757D09"/>
    <w:rsid w:val="6C8A533D"/>
    <w:rsid w:val="6C947B30"/>
    <w:rsid w:val="6CDC5571"/>
    <w:rsid w:val="6CF64100"/>
    <w:rsid w:val="6DDF59E4"/>
    <w:rsid w:val="6DE52EFC"/>
    <w:rsid w:val="6DE95B74"/>
    <w:rsid w:val="6E126320"/>
    <w:rsid w:val="6E796EBC"/>
    <w:rsid w:val="6EDC4A5C"/>
    <w:rsid w:val="6F1F501B"/>
    <w:rsid w:val="6F515DBA"/>
    <w:rsid w:val="6F890FF2"/>
    <w:rsid w:val="6FBD0C8F"/>
    <w:rsid w:val="701427CA"/>
    <w:rsid w:val="7027028C"/>
    <w:rsid w:val="710467AB"/>
    <w:rsid w:val="71C44DBF"/>
    <w:rsid w:val="71CA1C55"/>
    <w:rsid w:val="71EA2C3E"/>
    <w:rsid w:val="72215E22"/>
    <w:rsid w:val="72511805"/>
    <w:rsid w:val="72721E98"/>
    <w:rsid w:val="739055F3"/>
    <w:rsid w:val="741B003B"/>
    <w:rsid w:val="7481506F"/>
    <w:rsid w:val="749F4E85"/>
    <w:rsid w:val="754C60AC"/>
    <w:rsid w:val="755265A4"/>
    <w:rsid w:val="761E54BA"/>
    <w:rsid w:val="76430174"/>
    <w:rsid w:val="76563D58"/>
    <w:rsid w:val="76646A31"/>
    <w:rsid w:val="768544D3"/>
    <w:rsid w:val="76D2700A"/>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686C61"/>
    <w:rsid w:val="7C811FD9"/>
    <w:rsid w:val="7D2612C4"/>
    <w:rsid w:val="7D857DAA"/>
    <w:rsid w:val="7DE97B93"/>
    <w:rsid w:val="7E50439F"/>
    <w:rsid w:val="7E814644"/>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Lines="0" w:beforeAutospacing="0" w:afterLines="0" w:afterAutospacing="0" w:line="360" w:lineRule="auto"/>
      <w:ind w:firstLine="881" w:firstLineChars="200"/>
      <w:outlineLvl w:val="1"/>
    </w:pPr>
    <w:rPr>
      <w:rFonts w:ascii="Arial" w:hAnsi="Arial" w:eastAsia="仿宋"/>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Normal Indent"/>
    <w:basedOn w:val="1"/>
    <w:qFormat/>
    <w:uiPriority w:val="0"/>
    <w:pPr>
      <w:adjustRightInd w:val="0"/>
      <w:spacing w:line="360" w:lineRule="atLeast"/>
      <w:ind w:firstLine="482"/>
      <w:textAlignment w:val="baseline"/>
    </w:pPr>
    <w:rPr>
      <w:kern w:val="0"/>
      <w:sz w:val="24"/>
      <w:szCs w:val="20"/>
    </w:rPr>
  </w:style>
  <w:style w:type="paragraph" w:styleId="6">
    <w:name w:val="annotation text"/>
    <w:basedOn w:val="1"/>
    <w:semiHidden/>
    <w:unhideWhenUsed/>
    <w:qFormat/>
    <w:uiPriority w:val="99"/>
    <w:pPr>
      <w:jc w:val="left"/>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22"/>
    <w:rPr>
      <w:b/>
    </w:rPr>
  </w:style>
  <w:style w:type="character" w:styleId="13">
    <w:name w:val="FollowedHyperlink"/>
    <w:basedOn w:val="11"/>
    <w:semiHidden/>
    <w:unhideWhenUsed/>
    <w:qFormat/>
    <w:uiPriority w:val="99"/>
    <w:rPr>
      <w:color w:val="337AB7"/>
      <w:u w:val="none"/>
    </w:rPr>
  </w:style>
  <w:style w:type="character" w:styleId="14">
    <w:name w:val="HTML Definition"/>
    <w:basedOn w:val="11"/>
    <w:semiHidden/>
    <w:unhideWhenUsed/>
    <w:qFormat/>
    <w:uiPriority w:val="99"/>
    <w:rPr>
      <w:i/>
    </w:rPr>
  </w:style>
  <w:style w:type="character" w:styleId="15">
    <w:name w:val="Hyperlink"/>
    <w:basedOn w:val="11"/>
    <w:semiHidden/>
    <w:unhideWhenUsed/>
    <w:qFormat/>
    <w:uiPriority w:val="99"/>
    <w:rPr>
      <w:color w:val="337AB7"/>
      <w:u w:val="none"/>
    </w:rPr>
  </w:style>
  <w:style w:type="character" w:styleId="16">
    <w:name w:val="HTML Code"/>
    <w:basedOn w:val="11"/>
    <w:semiHidden/>
    <w:unhideWhenUsed/>
    <w:qFormat/>
    <w:uiPriority w:val="99"/>
    <w:rPr>
      <w:rFonts w:ascii="Consolas" w:hAnsi="Consolas" w:eastAsia="Consolas" w:cs="Consolas"/>
      <w:color w:val="C7254E"/>
      <w:sz w:val="21"/>
      <w:szCs w:val="21"/>
      <w:shd w:val="clear" w:fill="F9F2F4"/>
    </w:rPr>
  </w:style>
  <w:style w:type="character" w:styleId="17">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1"/>
    <w:semiHidden/>
    <w:unhideWhenUsed/>
    <w:qFormat/>
    <w:uiPriority w:val="99"/>
    <w:rPr>
      <w:rFonts w:hint="default" w:ascii="Consolas" w:hAnsi="Consolas" w:eastAsia="Consolas" w:cs="Consolas"/>
      <w:sz w:val="21"/>
      <w:szCs w:val="21"/>
    </w:rPr>
  </w:style>
  <w:style w:type="character" w:customStyle="1" w:styleId="19">
    <w:name w:val="页眉 Char"/>
    <w:basedOn w:val="11"/>
    <w:link w:val="8"/>
    <w:qFormat/>
    <w:uiPriority w:val="99"/>
    <w:rPr>
      <w:sz w:val="18"/>
      <w:szCs w:val="18"/>
    </w:rPr>
  </w:style>
  <w:style w:type="character" w:customStyle="1" w:styleId="20">
    <w:name w:val="页脚 Char"/>
    <w:basedOn w:val="11"/>
    <w:link w:val="7"/>
    <w:qFormat/>
    <w:uiPriority w:val="99"/>
    <w:rPr>
      <w:sz w:val="18"/>
      <w:szCs w:val="18"/>
    </w:rPr>
  </w:style>
  <w:style w:type="character" w:customStyle="1" w:styleId="21">
    <w:name w:val="layui-layer-tabnow"/>
    <w:basedOn w:val="11"/>
    <w:qFormat/>
    <w:uiPriority w:val="0"/>
    <w:rPr>
      <w:bdr w:val="single" w:color="CCCCCC" w:sz="6" w:space="0"/>
      <w:shd w:val="clear" w:fill="FFFFFF"/>
    </w:rPr>
  </w:style>
  <w:style w:type="character" w:customStyle="1" w:styleId="22">
    <w:name w:val="actspan"/>
    <w:basedOn w:val="11"/>
    <w:qFormat/>
    <w:uiPriority w:val="0"/>
  </w:style>
  <w:style w:type="character" w:customStyle="1" w:styleId="23">
    <w:name w:val="first-child"/>
    <w:basedOn w:val="11"/>
    <w:qFormat/>
    <w:uiPriority w:val="0"/>
  </w:style>
  <w:style w:type="character" w:customStyle="1" w:styleId="24">
    <w:name w:val="actspan2"/>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1075</Words>
  <Characters>1104</Characters>
  <Lines>4</Lines>
  <Paragraphs>1</Paragraphs>
  <TotalTime>0</TotalTime>
  <ScaleCrop>false</ScaleCrop>
  <LinksUpToDate>false</LinksUpToDate>
  <CharactersWithSpaces>1153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2023-11-10T08:02:00Z</cp:lastPrinted>
  <dcterms:modified xsi:type="dcterms:W3CDTF">2024-11-05T08:47:06Z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5E2D367332054C8DA5DA72DE667F9035</vt:lpwstr>
  </property>
</Properties>
</file>