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8779D">
      <w:pPr>
        <w:spacing w:line="640" w:lineRule="exact"/>
        <w:jc w:val="center"/>
        <w:rPr>
          <w:rFonts w:hint="eastAsia" w:ascii="宋体" w:hAnsi="宋体" w:eastAsia="宋体" w:cs="宋体"/>
          <w:sz w:val="44"/>
          <w:szCs w:val="44"/>
        </w:rPr>
      </w:pPr>
      <w:r>
        <w:rPr>
          <w:rFonts w:hint="eastAsia" w:ascii="宋体" w:hAnsi="宋体" w:eastAsia="宋体" w:cs="宋体"/>
          <w:sz w:val="44"/>
          <w:szCs w:val="44"/>
        </w:rPr>
        <w:t>黄埠镇沙埔村4宗地块砂石余渣处置项目</w:t>
      </w:r>
    </w:p>
    <w:p w14:paraId="7B1696B6">
      <w:pPr>
        <w:spacing w:line="640" w:lineRule="exact"/>
        <w:jc w:val="center"/>
        <w:rPr>
          <w:rFonts w:hint="eastAsia" w:ascii="宋体" w:hAnsi="宋体" w:eastAsia="宋体" w:cs="宋体"/>
          <w:b/>
          <w:sz w:val="44"/>
          <w:szCs w:val="44"/>
        </w:rPr>
      </w:pPr>
      <w:r>
        <w:rPr>
          <w:rFonts w:hint="eastAsia" w:ascii="宋体" w:hAnsi="宋体" w:eastAsia="宋体" w:cs="宋体"/>
          <w:sz w:val="44"/>
          <w:szCs w:val="44"/>
        </w:rPr>
        <w:t>公开挂牌</w:t>
      </w:r>
      <w:r>
        <w:rPr>
          <w:rFonts w:hint="eastAsia" w:ascii="宋体" w:hAnsi="宋体" w:cs="宋体"/>
          <w:sz w:val="44"/>
          <w:szCs w:val="44"/>
          <w:lang w:eastAsia="zh-CN"/>
        </w:rPr>
        <w:t>转让</w:t>
      </w:r>
      <w:r>
        <w:rPr>
          <w:rFonts w:hint="eastAsia" w:ascii="宋体" w:hAnsi="宋体" w:eastAsia="宋体" w:cs="宋体"/>
          <w:spacing w:val="-11"/>
          <w:sz w:val="44"/>
          <w:szCs w:val="44"/>
        </w:rPr>
        <w:t>合同</w:t>
      </w:r>
    </w:p>
    <w:p w14:paraId="1726365C">
      <w:pPr>
        <w:spacing w:line="336" w:lineRule="auto"/>
        <w:jc w:val="center"/>
        <w:rPr>
          <w:rFonts w:hint="eastAsia" w:ascii="宋体" w:hAnsi="宋体"/>
          <w:spacing w:val="6"/>
          <w:kern w:val="10"/>
          <w:sz w:val="24"/>
        </w:rPr>
      </w:pPr>
    </w:p>
    <w:p w14:paraId="7A569C3C">
      <w:pPr>
        <w:pStyle w:val="4"/>
        <w:snapToGrid w:val="0"/>
        <w:spacing w:line="336" w:lineRule="auto"/>
        <w:rPr>
          <w:rFonts w:hint="eastAsia"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甲方（</w:t>
      </w:r>
      <w:r>
        <w:rPr>
          <w:rFonts w:hint="eastAsia" w:ascii="仿宋_GB2312" w:hAnsi="仿宋_GB2312" w:eastAsia="仿宋_GB2312" w:cs="仿宋_GB2312"/>
          <w:spacing w:val="6"/>
          <w:kern w:val="10"/>
          <w:sz w:val="32"/>
          <w:szCs w:val="32"/>
        </w:rPr>
        <w:t>转让人）：惠东县</w:t>
      </w:r>
      <w:r>
        <w:rPr>
          <w:rFonts w:hint="eastAsia" w:ascii="仿宋_GB2312" w:hAnsi="仿宋_GB2312" w:eastAsia="仿宋_GB2312" w:cs="仿宋_GB2312"/>
          <w:spacing w:val="6"/>
          <w:kern w:val="10"/>
          <w:sz w:val="32"/>
          <w:szCs w:val="32"/>
          <w:lang w:val="en-US" w:eastAsia="zh-CN"/>
        </w:rPr>
        <w:t>黄埠</w:t>
      </w:r>
      <w:r>
        <w:rPr>
          <w:rFonts w:hint="eastAsia" w:ascii="仿宋_GB2312" w:hAnsi="仿宋_GB2312" w:eastAsia="仿宋_GB2312" w:cs="仿宋_GB2312"/>
          <w:spacing w:val="6"/>
          <w:kern w:val="10"/>
          <w:sz w:val="32"/>
          <w:szCs w:val="32"/>
        </w:rPr>
        <w:t xml:space="preserve">镇人民政府  </w:t>
      </w:r>
    </w:p>
    <w:p w14:paraId="65214615">
      <w:pPr>
        <w:pStyle w:val="4"/>
        <w:snapToGrid w:val="0"/>
        <w:spacing w:line="336" w:lineRule="auto"/>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 xml:space="preserve">法定代表人：        </w:t>
      </w:r>
    </w:p>
    <w:p w14:paraId="1840777F">
      <w:pPr>
        <w:pStyle w:val="4"/>
        <w:snapToGrid w:val="0"/>
        <w:spacing w:line="336" w:lineRule="auto"/>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乙方（</w:t>
      </w:r>
      <w:r>
        <w:rPr>
          <w:rFonts w:hint="eastAsia" w:ascii="仿宋_GB2312" w:hAnsi="仿宋_GB2312" w:eastAsia="仿宋_GB2312" w:cs="仿宋_GB2312"/>
          <w:spacing w:val="6"/>
          <w:kern w:val="10"/>
          <w:sz w:val="32"/>
          <w:szCs w:val="32"/>
        </w:rPr>
        <w:t>竞得人）</w:t>
      </w:r>
      <w:r>
        <w:rPr>
          <w:rFonts w:hint="eastAsia" w:ascii="仿宋_GB2312" w:hAnsi="仿宋_GB2312" w:eastAsia="仿宋_GB2312" w:cs="仿宋_GB2312"/>
          <w:color w:val="000000"/>
          <w:spacing w:val="6"/>
          <w:kern w:val="10"/>
          <w:sz w:val="32"/>
          <w:szCs w:val="32"/>
        </w:rPr>
        <w:t xml:space="preserve">：                    </w:t>
      </w:r>
    </w:p>
    <w:p w14:paraId="6579737D">
      <w:pPr>
        <w:pStyle w:val="4"/>
        <w:snapToGrid w:val="0"/>
        <w:spacing w:line="336" w:lineRule="auto"/>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 xml:space="preserve">法定代表人：           </w:t>
      </w:r>
    </w:p>
    <w:p w14:paraId="26146DA5">
      <w:pPr>
        <w:spacing w:line="336" w:lineRule="auto"/>
        <w:rPr>
          <w:rFonts w:hint="eastAsia" w:ascii="仿宋_GB2312" w:hAnsi="仿宋_GB2312" w:eastAsia="仿宋_GB2312" w:cs="仿宋_GB2312"/>
          <w:b/>
          <w:spacing w:val="6"/>
          <w:kern w:val="10"/>
          <w:sz w:val="32"/>
          <w:szCs w:val="32"/>
        </w:rPr>
      </w:pPr>
    </w:p>
    <w:p w14:paraId="3725C1E5">
      <w:pPr>
        <w:spacing w:line="336" w:lineRule="auto"/>
        <w:ind w:firstLine="640"/>
        <w:rPr>
          <w:rFonts w:hint="eastAsia"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经县政府批准，同意我府将</w:t>
      </w:r>
      <w:r>
        <w:rPr>
          <w:rFonts w:hint="eastAsia" w:eastAsia="仿宋_GB2312"/>
          <w:color w:val="000000"/>
          <w:sz w:val="32"/>
          <w:szCs w:val="32"/>
          <w:u w:val="single"/>
        </w:rPr>
        <w:t>黄埠镇沙埔村4宗地块砂石余渣处置项目</w:t>
      </w:r>
      <w:r>
        <w:rPr>
          <w:rFonts w:hint="eastAsia" w:ascii="仿宋_GB2312" w:hAnsi="仿宋_GB2312" w:eastAsia="仿宋_GB2312" w:cs="仿宋_GB2312"/>
          <w:color w:val="000000"/>
          <w:spacing w:val="6"/>
          <w:kern w:val="10"/>
          <w:sz w:val="32"/>
          <w:szCs w:val="32"/>
        </w:rPr>
        <w:t>委托惠州市公共资源交易中心惠东分中心挂牌</w:t>
      </w:r>
      <w:r>
        <w:rPr>
          <w:rFonts w:hint="eastAsia" w:ascii="仿宋_GB2312" w:hAnsi="仿宋_GB2312" w:eastAsia="仿宋_GB2312" w:cs="仿宋_GB2312"/>
          <w:color w:val="auto"/>
          <w:spacing w:val="6"/>
          <w:kern w:val="10"/>
          <w:sz w:val="32"/>
          <w:szCs w:val="32"/>
        </w:rPr>
        <w:t>转让</w:t>
      </w:r>
      <w:r>
        <w:rPr>
          <w:rFonts w:hint="eastAsia" w:ascii="仿宋_GB2312" w:hAnsi="仿宋_GB2312" w:eastAsia="仿宋_GB2312" w:cs="仿宋_GB2312"/>
          <w:color w:val="000000"/>
          <w:spacing w:val="6"/>
          <w:kern w:val="10"/>
          <w:sz w:val="32"/>
          <w:szCs w:val="32"/>
        </w:rPr>
        <w:t>。该中心于</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年</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月</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日在惠州市公共资源交易中心惠东分中心网站发布挂牌转让公告。将甲</w:t>
      </w:r>
      <w:r>
        <w:rPr>
          <w:rFonts w:hint="eastAsia" w:ascii="仿宋_GB2312" w:hAnsi="仿宋_GB2312" w:eastAsia="仿宋_GB2312" w:cs="仿宋_GB2312"/>
          <w:spacing w:val="6"/>
          <w:kern w:val="10"/>
          <w:sz w:val="32"/>
          <w:szCs w:val="32"/>
        </w:rPr>
        <w:t>方</w:t>
      </w:r>
      <w:r>
        <w:rPr>
          <w:rFonts w:hint="eastAsia" w:ascii="仿宋_GB2312" w:hAnsi="仿宋_GB2312" w:eastAsia="仿宋_GB2312" w:cs="仿宋_GB2312"/>
          <w:spacing w:val="6"/>
          <w:kern w:val="10"/>
          <w:sz w:val="32"/>
          <w:szCs w:val="32"/>
          <w:u w:val="single"/>
          <w:lang w:val="en-US" w:eastAsia="zh-CN"/>
        </w:rPr>
        <w:t xml:space="preserve"> </w:t>
      </w:r>
      <w:r>
        <w:rPr>
          <w:rFonts w:hint="eastAsia" w:ascii="仿宋_GB2312" w:hAnsi="仿宋_GB2312" w:eastAsia="仿宋_GB2312" w:cs="仿宋_GB2312"/>
          <w:color w:val="000000"/>
          <w:sz w:val="32"/>
          <w:szCs w:val="32"/>
          <w:u w:val="single"/>
        </w:rPr>
        <w:t>黄埠镇沙埔村4宗地块</w:t>
      </w:r>
      <w:r>
        <w:rPr>
          <w:rFonts w:hint="eastAsia" w:ascii="仿宋_GB2312" w:hAnsi="仿宋_GB2312" w:eastAsia="仿宋_GB2312" w:cs="仿宋_GB2312"/>
          <w:color w:val="000000" w:themeColor="text1"/>
          <w:sz w:val="32"/>
          <w:szCs w:val="32"/>
          <w:u w:val="single"/>
          <w14:textFill>
            <w14:solidFill>
              <w14:schemeClr w14:val="tx1"/>
            </w14:solidFill>
          </w14:textFill>
        </w:rPr>
        <w:t>砂石余渣</w:t>
      </w:r>
      <w:r>
        <w:rPr>
          <w:rFonts w:hint="eastAsia" w:ascii="仿宋_GB2312" w:hAnsi="仿宋_GB2312" w:eastAsia="仿宋_GB2312" w:cs="仿宋_GB2312"/>
          <w:color w:val="000000"/>
          <w:sz w:val="32"/>
          <w:szCs w:val="32"/>
          <w:u w:val="single"/>
        </w:rPr>
        <w:t>处置项目</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spacing w:val="6"/>
          <w:kern w:val="10"/>
          <w:sz w:val="32"/>
          <w:szCs w:val="32"/>
        </w:rPr>
        <w:t>(下称“标的物”)公开挂牌</w:t>
      </w:r>
      <w:r>
        <w:rPr>
          <w:rFonts w:hint="eastAsia" w:ascii="仿宋_GB2312" w:hAnsi="仿宋_GB2312" w:eastAsia="仿宋_GB2312" w:cs="仿宋_GB2312"/>
          <w:color w:val="000000" w:themeColor="text1"/>
          <w:spacing w:val="6"/>
          <w:kern w:val="10"/>
          <w:sz w:val="32"/>
          <w:szCs w:val="32"/>
          <w14:textFill>
            <w14:solidFill>
              <w14:schemeClr w14:val="tx1"/>
            </w14:solidFill>
          </w14:textFill>
        </w:rPr>
        <w:t>转让</w:t>
      </w:r>
      <w:r>
        <w:rPr>
          <w:rFonts w:hint="eastAsia" w:ascii="仿宋_GB2312" w:hAnsi="仿宋_GB2312" w:eastAsia="仿宋_GB2312" w:cs="仿宋_GB2312"/>
          <w:spacing w:val="6"/>
          <w:kern w:val="10"/>
          <w:sz w:val="32"/>
          <w:szCs w:val="32"/>
        </w:rPr>
        <w:t>，</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年</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spacing w:val="6"/>
          <w:kern w:val="10"/>
          <w:sz w:val="32"/>
          <w:szCs w:val="32"/>
        </w:rPr>
        <w:t>月</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spacing w:val="6"/>
          <w:kern w:val="10"/>
          <w:sz w:val="32"/>
          <w:szCs w:val="32"/>
        </w:rPr>
        <w:t>日经</w:t>
      </w:r>
      <w:r>
        <w:rPr>
          <w:rFonts w:hint="default" w:ascii="仿宋_GB2312" w:hAnsi="仿宋_GB2312" w:eastAsia="仿宋_GB2312" w:cs="仿宋_GB2312"/>
          <w:color w:val="000000"/>
          <w:spacing w:val="6"/>
          <w:kern w:val="10"/>
          <w:sz w:val="32"/>
          <w:szCs w:val="32"/>
          <w:lang w:val="en-US" w:eastAsia="zh-CN"/>
        </w:rPr>
        <w:t>惠州市公共资源交易中心产权交易竞价电子交易系统</w:t>
      </w:r>
      <w:r>
        <w:rPr>
          <w:rFonts w:hint="eastAsia" w:ascii="仿宋_GB2312" w:hAnsi="仿宋_GB2312" w:eastAsia="仿宋_GB2312" w:cs="仿宋_GB2312"/>
          <w:color w:val="000000"/>
          <w:spacing w:val="6"/>
          <w:kern w:val="10"/>
          <w:sz w:val="32"/>
          <w:szCs w:val="32"/>
          <w:lang w:eastAsia="zh-CN"/>
        </w:rPr>
        <w:t>公开竞</w:t>
      </w:r>
      <w:r>
        <w:rPr>
          <w:rFonts w:hint="eastAsia" w:ascii="仿宋_GB2312" w:hAnsi="仿宋_GB2312" w:eastAsia="仿宋_GB2312" w:cs="仿宋_GB2312"/>
          <w:color w:val="000000"/>
          <w:spacing w:val="6"/>
          <w:kern w:val="10"/>
          <w:sz w:val="32"/>
          <w:szCs w:val="32"/>
          <w:lang w:val="en-US" w:eastAsia="zh-CN"/>
        </w:rPr>
        <w:t xml:space="preserve">价， </w:t>
      </w:r>
      <w:r>
        <w:rPr>
          <w:rFonts w:hint="eastAsia" w:ascii="仿宋_GB2312" w:hAnsi="仿宋_GB2312" w:eastAsia="仿宋_GB2312" w:cs="仿宋_GB2312"/>
          <w:spacing w:val="6"/>
          <w:kern w:val="10"/>
          <w:sz w:val="32"/>
          <w:szCs w:val="32"/>
          <w:u w:val="single"/>
        </w:rPr>
        <w:t xml:space="preserve">               </w:t>
      </w:r>
      <w:r>
        <w:rPr>
          <w:rFonts w:hint="eastAsia" w:ascii="仿宋_GB2312" w:hAnsi="仿宋_GB2312" w:eastAsia="仿宋_GB2312" w:cs="仿宋_GB2312"/>
          <w:spacing w:val="6"/>
          <w:kern w:val="10"/>
          <w:sz w:val="32"/>
          <w:szCs w:val="32"/>
          <w:u w:val="single"/>
          <w:lang w:val="en-US" w:eastAsia="zh-CN"/>
        </w:rPr>
        <w:t xml:space="preserve">  </w:t>
      </w:r>
      <w:r>
        <w:rPr>
          <w:rFonts w:hint="eastAsia" w:ascii="仿宋_GB2312" w:hAnsi="仿宋_GB2312" w:eastAsia="仿宋_GB2312" w:cs="仿宋_GB2312"/>
          <w:color w:val="000000"/>
          <w:spacing w:val="6"/>
          <w:kern w:val="10"/>
          <w:sz w:val="32"/>
          <w:szCs w:val="32"/>
        </w:rPr>
        <w:t>以最高报价</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元竞得</w:t>
      </w:r>
      <w:r>
        <w:rPr>
          <w:rFonts w:hint="eastAsia" w:ascii="仿宋_GB2312" w:hAnsi="仿宋_GB2312" w:eastAsia="仿宋_GB2312" w:cs="仿宋_GB2312"/>
          <w:spacing w:val="6"/>
          <w:kern w:val="10"/>
          <w:sz w:val="32"/>
          <w:szCs w:val="32"/>
        </w:rPr>
        <w:t>。现甲、乙双方就该标的转让事宜签订合同如下：</w:t>
      </w:r>
    </w:p>
    <w:p w14:paraId="70B5C4C4">
      <w:pPr>
        <w:spacing w:line="336" w:lineRule="auto"/>
        <w:rPr>
          <w:rFonts w:hint="eastAsia" w:ascii="仿宋_GB2312" w:hAnsi="仿宋_GB2312" w:eastAsia="仿宋_GB2312" w:cs="仿宋_GB2312"/>
          <w:b/>
          <w:bCs/>
          <w:color w:val="000000"/>
          <w:spacing w:val="6"/>
          <w:kern w:val="10"/>
          <w:sz w:val="32"/>
          <w:szCs w:val="32"/>
        </w:rPr>
      </w:pPr>
      <w:r>
        <w:rPr>
          <w:rFonts w:hint="eastAsia" w:ascii="仿宋_GB2312" w:hAnsi="仿宋_GB2312" w:eastAsia="仿宋_GB2312" w:cs="仿宋_GB2312"/>
          <w:b/>
          <w:bCs/>
          <w:color w:val="000000"/>
          <w:spacing w:val="6"/>
          <w:kern w:val="10"/>
          <w:sz w:val="32"/>
          <w:szCs w:val="32"/>
        </w:rPr>
        <w:t>一、转让标的和价款：</w:t>
      </w:r>
    </w:p>
    <w:p w14:paraId="15834CE0">
      <w:pPr>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（一）甲方转让标的物为黄埠镇沙埔村4宗地块砂石余渣处置项目土</w:t>
      </w:r>
      <w:r>
        <w:rPr>
          <w:rFonts w:hint="eastAsia" w:ascii="仿宋_GB2312" w:hAnsi="仿宋_GB2312" w:eastAsia="仿宋_GB2312" w:cs="仿宋_GB2312"/>
          <w:spacing w:val="6"/>
          <w:kern w:val="10"/>
          <w:sz w:val="32"/>
          <w:szCs w:val="32"/>
        </w:rPr>
        <w:t>石方</w:t>
      </w:r>
      <w:r>
        <w:rPr>
          <w:rFonts w:hint="eastAsia" w:ascii="仿宋_GB2312" w:hAnsi="仿宋_GB2312" w:eastAsia="仿宋_GB2312" w:cs="仿宋_GB2312"/>
          <w:color w:val="auto"/>
          <w:spacing w:val="6"/>
          <w:kern w:val="10"/>
          <w:sz w:val="32"/>
          <w:szCs w:val="32"/>
        </w:rPr>
        <w:t>资源</w:t>
      </w:r>
      <w:r>
        <w:rPr>
          <w:rFonts w:hint="eastAsia" w:ascii="仿宋_GB2312" w:hAnsi="仿宋_GB2312" w:eastAsia="仿宋_GB2312" w:cs="仿宋_GB2312"/>
          <w:color w:val="auto"/>
          <w:spacing w:val="6"/>
          <w:kern w:val="10"/>
          <w:sz w:val="32"/>
          <w:szCs w:val="32"/>
          <w:u w:val="single"/>
          <w:lang w:val="en-US" w:eastAsia="zh-CN"/>
        </w:rPr>
        <w:t xml:space="preserve">     </w:t>
      </w:r>
      <w:r>
        <w:rPr>
          <w:rFonts w:hint="eastAsia" w:ascii="仿宋_GB2312" w:hAnsi="仿宋_GB2312" w:eastAsia="仿宋_GB2312" w:cs="仿宋_GB2312"/>
          <w:color w:val="auto"/>
          <w:spacing w:val="6"/>
          <w:kern w:val="10"/>
          <w:sz w:val="32"/>
          <w:szCs w:val="32"/>
          <w:lang w:val="en-US" w:eastAsia="zh-CN"/>
        </w:rPr>
        <w:t>立方米</w:t>
      </w:r>
      <w:r>
        <w:rPr>
          <w:rFonts w:hint="eastAsia" w:ascii="仿宋_GB2312" w:hAnsi="仿宋_GB2312" w:eastAsia="仿宋_GB2312" w:cs="仿宋_GB2312"/>
          <w:color w:val="000000"/>
          <w:spacing w:val="6"/>
          <w:kern w:val="10"/>
          <w:sz w:val="32"/>
          <w:szCs w:val="32"/>
        </w:rPr>
        <w:t>，乙方以公开竞价的方式竞得标的物，成交价为</w:t>
      </w:r>
      <w:r>
        <w:rPr>
          <w:rFonts w:hint="eastAsia" w:ascii="仿宋_GB2312" w:hAnsi="仿宋_GB2312" w:eastAsia="仿宋_GB2312" w:cs="仿宋_GB2312"/>
          <w:color w:val="000000"/>
          <w:spacing w:val="6"/>
          <w:kern w:val="10"/>
          <w:sz w:val="32"/>
          <w:szCs w:val="32"/>
          <w:u w:val="single"/>
        </w:rPr>
        <w:t xml:space="preserve"> </w:t>
      </w:r>
      <w:r>
        <w:rPr>
          <w:rFonts w:ascii="Arial" w:hAnsi="Arial" w:eastAsia="仿宋_GB2312" w:cs="Arial"/>
          <w:color w:val="000000"/>
          <w:spacing w:val="6"/>
          <w:kern w:val="10"/>
          <w:sz w:val="32"/>
          <w:szCs w:val="32"/>
          <w:u w:val="single"/>
        </w:rPr>
        <w:t>¥</w:t>
      </w:r>
      <w:r>
        <w:rPr>
          <w:rFonts w:hint="eastAsia" w:ascii="仿宋_GB2312" w:hAnsi="仿宋_GB2312" w:eastAsia="仿宋_GB2312" w:cs="仿宋_GB2312"/>
          <w:color w:val="000000"/>
          <w:spacing w:val="6"/>
          <w:kern w:val="10"/>
          <w:sz w:val="32"/>
          <w:szCs w:val="32"/>
          <w:u w:val="single"/>
        </w:rPr>
        <w:t xml:space="preserve">           </w:t>
      </w:r>
      <w:r>
        <w:rPr>
          <w:rFonts w:hint="eastAsia" w:ascii="仿宋_GB2312" w:hAnsi="仿宋_GB2312" w:eastAsia="仿宋_GB2312" w:cs="仿宋_GB2312"/>
          <w:color w:val="000000"/>
          <w:spacing w:val="6"/>
          <w:kern w:val="10"/>
          <w:sz w:val="32"/>
          <w:szCs w:val="32"/>
        </w:rPr>
        <w:t>元。</w:t>
      </w:r>
    </w:p>
    <w:p w14:paraId="1F9675D9">
      <w:pPr>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（二）乙方交纳的竞买保证金不抵作成交款。成交价款在到惠州市公共资源交易中心惠东分中心领取《产权交易通知书》前一次性付清。</w:t>
      </w:r>
    </w:p>
    <w:p w14:paraId="0EEADD26">
      <w:pPr>
        <w:widowControl/>
        <w:spacing w:line="336" w:lineRule="auto"/>
        <w:ind w:firstLine="664" w:firstLineChars="200"/>
        <w:textAlignment w:val="baseline"/>
        <w:rPr>
          <w:rStyle w:val="5"/>
          <w:rFonts w:hint="eastAsia" w:ascii="仿宋_GB2312" w:hAnsi="仿宋_GB2312" w:eastAsia="仿宋_GB2312" w:cs="仿宋_GB2312"/>
          <w:kern w:val="10"/>
          <w:sz w:val="32"/>
          <w:szCs w:val="32"/>
        </w:rPr>
      </w:pPr>
      <w:r>
        <w:rPr>
          <w:rFonts w:hint="eastAsia" w:ascii="仿宋_GB2312" w:hAnsi="仿宋_GB2312" w:eastAsia="仿宋_GB2312" w:cs="仿宋_GB2312"/>
          <w:color w:val="000000"/>
          <w:spacing w:val="6"/>
          <w:kern w:val="10"/>
          <w:sz w:val="32"/>
          <w:szCs w:val="32"/>
        </w:rPr>
        <w:t>（三）</w:t>
      </w:r>
      <w:r>
        <w:rPr>
          <w:rStyle w:val="5"/>
          <w:rFonts w:hint="eastAsia" w:eastAsia="仿宋_GB2312"/>
          <w:spacing w:val="6"/>
          <w:kern w:val="10"/>
          <w:sz w:val="32"/>
          <w:szCs w:val="32"/>
        </w:rPr>
        <w:t>我镇按</w:t>
      </w:r>
      <w:r>
        <w:rPr>
          <w:rFonts w:hint="eastAsia" w:ascii="仿宋_GB2312" w:hAnsi="仿宋_GB2312" w:eastAsia="仿宋_GB2312" w:cs="仿宋_GB2312"/>
          <w:spacing w:val="6"/>
          <w:kern w:val="10"/>
          <w:sz w:val="32"/>
          <w:szCs w:val="32"/>
        </w:rPr>
        <w:t>《</w:t>
      </w:r>
      <w:r>
        <w:rPr>
          <w:rStyle w:val="5"/>
          <w:rFonts w:hint="eastAsia" w:eastAsia="仿宋_GB2312"/>
          <w:spacing w:val="6"/>
          <w:kern w:val="10"/>
          <w:sz w:val="32"/>
          <w:szCs w:val="32"/>
        </w:rPr>
        <w:t>黄埠镇沙埔村4宗地块砂石余渣处置项目</w:t>
      </w:r>
      <w:r>
        <w:rPr>
          <w:rStyle w:val="5"/>
          <w:rFonts w:hint="eastAsia" w:eastAsia="仿宋_GB2312"/>
          <w:spacing w:val="6"/>
          <w:kern w:val="10"/>
          <w:sz w:val="32"/>
          <w:szCs w:val="32"/>
          <w:lang w:val="en-US"/>
        </w:rPr>
        <w:t>土石方测绘技术报告</w:t>
      </w:r>
      <w:r>
        <w:rPr>
          <w:rStyle w:val="5"/>
          <w:rFonts w:hint="eastAsia" w:eastAsia="仿宋_GB2312"/>
          <w:spacing w:val="6"/>
          <w:kern w:val="10"/>
          <w:sz w:val="32"/>
          <w:szCs w:val="32"/>
        </w:rPr>
        <w:t>》</w:t>
      </w:r>
      <w:r>
        <w:rPr>
          <w:rStyle w:val="5"/>
          <w:rFonts w:hint="eastAsia" w:eastAsia="仿宋_GB2312"/>
          <w:spacing w:val="6"/>
          <w:kern w:val="10"/>
          <w:sz w:val="32"/>
          <w:szCs w:val="32"/>
          <w:lang w:val="en-US"/>
        </w:rPr>
        <w:t>测绘</w:t>
      </w:r>
      <w:r>
        <w:rPr>
          <w:rStyle w:val="5"/>
          <w:rFonts w:hint="eastAsia" w:eastAsia="仿宋_GB2312"/>
          <w:spacing w:val="6"/>
          <w:kern w:val="10"/>
          <w:sz w:val="32"/>
          <w:szCs w:val="32"/>
        </w:rPr>
        <w:t>区域的</w:t>
      </w:r>
      <w:r>
        <w:rPr>
          <w:rStyle w:val="5"/>
          <w:rFonts w:hint="eastAsia" w:eastAsia="仿宋_GB2312"/>
          <w:spacing w:val="6"/>
          <w:kern w:val="10"/>
          <w:sz w:val="32"/>
          <w:szCs w:val="32"/>
          <w:lang w:val="en-US"/>
        </w:rPr>
        <w:t>土</w:t>
      </w:r>
      <w:r>
        <w:rPr>
          <w:rStyle w:val="5"/>
          <w:rFonts w:hint="eastAsia" w:eastAsia="仿宋_GB2312"/>
          <w:spacing w:val="6"/>
          <w:kern w:val="10"/>
          <w:sz w:val="32"/>
          <w:szCs w:val="32"/>
        </w:rPr>
        <w:t>石方数量足额提供</w:t>
      </w:r>
      <w:r>
        <w:rPr>
          <w:rStyle w:val="5"/>
          <w:rFonts w:hint="eastAsia" w:eastAsia="仿宋_GB2312"/>
          <w:spacing w:val="6"/>
          <w:kern w:val="10"/>
          <w:sz w:val="32"/>
          <w:szCs w:val="32"/>
          <w:lang w:val="en-US"/>
        </w:rPr>
        <w:t>土</w:t>
      </w:r>
      <w:r>
        <w:rPr>
          <w:rStyle w:val="5"/>
          <w:rFonts w:hint="eastAsia" w:eastAsia="仿宋_GB2312"/>
          <w:spacing w:val="6"/>
          <w:kern w:val="10"/>
          <w:sz w:val="32"/>
          <w:szCs w:val="32"/>
        </w:rPr>
        <w:t>石方资源，竞得人可派人现场监督。甲方不承担因竞得人清运所导致的损失，竞得人自愿承担由此引起的一切风险和损失。</w:t>
      </w:r>
    </w:p>
    <w:p w14:paraId="03344873">
      <w:pPr>
        <w:spacing w:line="336" w:lineRule="auto"/>
        <w:ind w:firstLine="664" w:firstLineChars="200"/>
        <w:rPr>
          <w:rFonts w:hint="eastAsia"/>
          <w:color w:val="000000"/>
        </w:rPr>
      </w:pPr>
      <w:r>
        <w:rPr>
          <w:rFonts w:hint="eastAsia" w:ascii="仿宋_GB2312" w:hAnsi="仿宋_GB2312" w:eastAsia="仿宋_GB2312" w:cs="仿宋_GB2312"/>
          <w:color w:val="000000"/>
          <w:spacing w:val="6"/>
          <w:kern w:val="10"/>
          <w:sz w:val="32"/>
          <w:szCs w:val="32"/>
        </w:rPr>
        <w:t>（四）因标的物的特性，乙方竞得的标的物可能因市场调节等因素导致价格在短期内存在波动。乙方参与标的物的竞价行为前已经充分知悉前述情况，并自愿承担因此可能造成的损失。</w:t>
      </w:r>
    </w:p>
    <w:p w14:paraId="22FD7301">
      <w:pPr>
        <w:spacing w:line="336" w:lineRule="auto"/>
        <w:rPr>
          <w:rFonts w:hint="eastAsia" w:ascii="仿宋_GB2312" w:hAnsi="仿宋_GB2312" w:eastAsia="仿宋_GB2312" w:cs="仿宋_GB2312"/>
          <w:b/>
          <w:bCs/>
          <w:color w:val="000000"/>
          <w:spacing w:val="6"/>
          <w:kern w:val="10"/>
          <w:sz w:val="32"/>
          <w:szCs w:val="32"/>
        </w:rPr>
      </w:pPr>
      <w:r>
        <w:rPr>
          <w:rFonts w:hint="eastAsia" w:ascii="仿宋_GB2312" w:hAnsi="仿宋_GB2312" w:eastAsia="仿宋_GB2312" w:cs="仿宋_GB2312"/>
          <w:b/>
          <w:bCs/>
          <w:color w:val="000000"/>
          <w:spacing w:val="6"/>
          <w:kern w:val="10"/>
          <w:sz w:val="32"/>
          <w:szCs w:val="32"/>
        </w:rPr>
        <w:t>二、转让标的物的有效性</w:t>
      </w:r>
    </w:p>
    <w:p w14:paraId="29AEFBFC">
      <w:pPr>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甲方保证对其转让给乙方的标的在本合同生效之前拥有完全、有效的处分权</w:t>
      </w:r>
      <w:r>
        <w:rPr>
          <w:rFonts w:hint="eastAsia" w:ascii="仿宋_GB2312" w:hAnsi="仿宋_GB2312" w:eastAsia="仿宋_GB2312" w:cs="仿宋_GB2312"/>
          <w:color w:val="000000"/>
          <w:spacing w:val="6"/>
          <w:kern w:val="10"/>
          <w:sz w:val="32"/>
          <w:szCs w:val="32"/>
          <w:lang w:eastAsia="zh-CN"/>
        </w:rPr>
        <w:t>，</w:t>
      </w:r>
      <w:r>
        <w:rPr>
          <w:rFonts w:hint="eastAsia" w:ascii="仿宋_GB2312" w:hAnsi="仿宋_GB2312" w:eastAsia="仿宋_GB2312" w:cs="仿宋_GB2312"/>
          <w:color w:val="000000"/>
          <w:spacing w:val="6"/>
          <w:kern w:val="10"/>
          <w:sz w:val="32"/>
          <w:szCs w:val="32"/>
        </w:rPr>
        <w:t>保证该标的没有设置抵押权。</w:t>
      </w:r>
    </w:p>
    <w:p w14:paraId="29B19CA8">
      <w:pPr>
        <w:overflowPunct w:val="0"/>
        <w:topLinePunct/>
        <w:autoSpaceDE w:val="0"/>
        <w:autoSpaceDN w:val="0"/>
        <w:adjustRightInd w:val="0"/>
        <w:snapToGrid w:val="0"/>
        <w:spacing w:line="336" w:lineRule="auto"/>
        <w:rPr>
          <w:rFonts w:hint="eastAsia" w:ascii="仿宋_GB2312" w:hAnsi="仿宋_GB2312" w:eastAsia="仿宋_GB2312" w:cs="仿宋_GB2312"/>
          <w:b/>
          <w:spacing w:val="6"/>
          <w:kern w:val="10"/>
          <w:sz w:val="32"/>
          <w:szCs w:val="32"/>
        </w:rPr>
      </w:pPr>
      <w:r>
        <w:rPr>
          <w:rFonts w:hint="eastAsia" w:ascii="仿宋_GB2312" w:hAnsi="仿宋_GB2312" w:eastAsia="仿宋_GB2312" w:cs="仿宋_GB2312"/>
          <w:b/>
          <w:spacing w:val="6"/>
          <w:kern w:val="10"/>
          <w:sz w:val="32"/>
          <w:szCs w:val="32"/>
        </w:rPr>
        <w:t>三、标的物交接及双方责任</w:t>
      </w:r>
    </w:p>
    <w:p w14:paraId="6C0D4819">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spacing w:val="6"/>
          <w:kern w:val="10"/>
          <w:sz w:val="32"/>
          <w:szCs w:val="32"/>
        </w:rPr>
      </w:pPr>
      <w:r>
        <w:rPr>
          <w:rFonts w:hint="eastAsia" w:ascii="仿宋_GB2312" w:hAnsi="仿宋_GB2312" w:eastAsia="仿宋_GB2312" w:cs="仿宋_GB2312"/>
          <w:spacing w:val="6"/>
          <w:kern w:val="10"/>
          <w:sz w:val="32"/>
          <w:szCs w:val="32"/>
        </w:rPr>
        <w:t>（一）</w:t>
      </w:r>
      <w:r>
        <w:rPr>
          <w:rFonts w:hint="eastAsia" w:ascii="仿宋_GB2312" w:hAnsi="仿宋_GB2312" w:eastAsia="仿宋_GB2312" w:cs="仿宋_GB2312"/>
          <w:color w:val="000000"/>
          <w:spacing w:val="6"/>
          <w:kern w:val="10"/>
          <w:sz w:val="32"/>
          <w:szCs w:val="32"/>
        </w:rPr>
        <w:t>甲方应在</w:t>
      </w:r>
      <w:r>
        <w:rPr>
          <w:rFonts w:hint="eastAsia" w:ascii="仿宋_GB2312" w:hAnsi="仿宋_GB2312" w:eastAsia="仿宋_GB2312" w:cs="仿宋_GB2312"/>
          <w:spacing w:val="6"/>
          <w:kern w:val="10"/>
          <w:sz w:val="32"/>
          <w:szCs w:val="32"/>
        </w:rPr>
        <w:t>签订本合同后3个工作</w:t>
      </w:r>
      <w:r>
        <w:rPr>
          <w:rFonts w:hint="eastAsia" w:ascii="仿宋_GB2312" w:hAnsi="仿宋_GB2312" w:eastAsia="仿宋_GB2312" w:cs="仿宋_GB2312"/>
          <w:color w:val="000000"/>
          <w:spacing w:val="6"/>
          <w:kern w:val="10"/>
          <w:sz w:val="32"/>
          <w:szCs w:val="32"/>
        </w:rPr>
        <w:t>日内办理</w:t>
      </w:r>
      <w:r>
        <w:rPr>
          <w:rFonts w:hint="eastAsia" w:ascii="仿宋_GB2312" w:hAnsi="仿宋_GB2312" w:eastAsia="仿宋_GB2312" w:cs="仿宋_GB2312"/>
          <w:bCs/>
          <w:spacing w:val="6"/>
          <w:kern w:val="10"/>
          <w:sz w:val="32"/>
          <w:szCs w:val="32"/>
        </w:rPr>
        <w:t>标的</w:t>
      </w:r>
      <w:r>
        <w:rPr>
          <w:rFonts w:hint="eastAsia" w:ascii="仿宋_GB2312" w:hAnsi="仿宋_GB2312" w:eastAsia="仿宋_GB2312" w:cs="仿宋_GB2312"/>
          <w:color w:val="000000"/>
          <w:spacing w:val="6"/>
          <w:kern w:val="10"/>
          <w:sz w:val="32"/>
          <w:szCs w:val="32"/>
        </w:rPr>
        <w:t>移交手续，</w:t>
      </w:r>
      <w:r>
        <w:rPr>
          <w:rFonts w:hint="eastAsia" w:ascii="仿宋_GB2312" w:hAnsi="仿宋_GB2312" w:eastAsia="仿宋_GB2312" w:cs="仿宋_GB2312"/>
          <w:spacing w:val="6"/>
          <w:kern w:val="10"/>
          <w:sz w:val="32"/>
          <w:szCs w:val="32"/>
        </w:rPr>
        <w:t>移交的</w:t>
      </w:r>
      <w:r>
        <w:rPr>
          <w:rFonts w:hint="eastAsia" w:ascii="仿宋_GB2312" w:hAnsi="仿宋_GB2312" w:eastAsia="仿宋_GB2312" w:cs="仿宋_GB2312"/>
          <w:bCs/>
          <w:spacing w:val="6"/>
          <w:kern w:val="10"/>
          <w:sz w:val="32"/>
          <w:szCs w:val="32"/>
        </w:rPr>
        <w:t>标的物</w:t>
      </w:r>
      <w:r>
        <w:rPr>
          <w:rFonts w:hint="eastAsia" w:ascii="仿宋_GB2312" w:hAnsi="仿宋_GB2312" w:eastAsia="仿宋_GB2312" w:cs="仿宋_GB2312"/>
          <w:spacing w:val="6"/>
          <w:kern w:val="10"/>
          <w:sz w:val="32"/>
          <w:szCs w:val="32"/>
        </w:rPr>
        <w:t>以《</w:t>
      </w:r>
      <w:r>
        <w:rPr>
          <w:rStyle w:val="5"/>
          <w:rFonts w:hint="eastAsia" w:eastAsia="仿宋_GB2312"/>
          <w:spacing w:val="6"/>
          <w:kern w:val="10"/>
          <w:sz w:val="32"/>
          <w:szCs w:val="32"/>
        </w:rPr>
        <w:t>黄埠镇沙埔村4宗地块砂石余渣处置项目</w:t>
      </w:r>
      <w:r>
        <w:rPr>
          <w:rStyle w:val="5"/>
          <w:rFonts w:hint="eastAsia" w:eastAsia="仿宋_GB2312"/>
          <w:spacing w:val="6"/>
          <w:kern w:val="10"/>
          <w:sz w:val="32"/>
          <w:szCs w:val="32"/>
          <w:lang w:val="en-US"/>
        </w:rPr>
        <w:t>土石方测绘技术报告</w:t>
      </w:r>
      <w:r>
        <w:rPr>
          <w:rStyle w:val="5"/>
          <w:rFonts w:hint="eastAsia" w:eastAsia="仿宋_GB2312"/>
          <w:spacing w:val="6"/>
          <w:kern w:val="10"/>
          <w:sz w:val="32"/>
          <w:szCs w:val="32"/>
        </w:rPr>
        <w:t>》</w:t>
      </w:r>
      <w:r>
        <w:rPr>
          <w:rFonts w:hint="eastAsia" w:ascii="仿宋_GB2312" w:hAnsi="仿宋_GB2312" w:eastAsia="仿宋_GB2312" w:cs="仿宋_GB2312"/>
          <w:spacing w:val="6"/>
          <w:kern w:val="10"/>
          <w:sz w:val="32"/>
          <w:szCs w:val="32"/>
          <w:lang w:val="en-US" w:eastAsia="zh-CN"/>
        </w:rPr>
        <w:t>测绘</w:t>
      </w:r>
      <w:r>
        <w:rPr>
          <w:rFonts w:hint="eastAsia" w:ascii="仿宋_GB2312" w:hAnsi="仿宋_GB2312" w:eastAsia="仿宋_GB2312" w:cs="仿宋_GB2312"/>
          <w:spacing w:val="6"/>
          <w:kern w:val="10"/>
          <w:sz w:val="32"/>
          <w:szCs w:val="32"/>
        </w:rPr>
        <w:t>区域及受让方竞价前对标的物的了解、实地察看（如拍照，提出疑问后得到的书面答复）为依据。甲方不保证移交的标的无瑕疵，乙方不得以因无法避免的客观原因造成的瑕疵为由拒绝接收标的。</w:t>
      </w:r>
    </w:p>
    <w:p w14:paraId="06740750">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（二）标的物遗失、毁损等风险自标的物向乙方移交之日起转移给乙方，即自办理移交手续之日起，乙方承担标的物的保管、安全等管理责任,若乙方不在规定期限内办理移交手续，风险视同转移。</w:t>
      </w:r>
    </w:p>
    <w:p w14:paraId="40443DF4">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（三）</w:t>
      </w:r>
      <w:r>
        <w:rPr>
          <w:rFonts w:hint="eastAsia" w:ascii="仿宋_GB2312" w:hAnsi="仿宋_GB2312" w:eastAsia="仿宋_GB2312" w:cs="仿宋_GB2312"/>
          <w:spacing w:val="6"/>
          <w:kern w:val="10"/>
          <w:sz w:val="32"/>
          <w:szCs w:val="32"/>
        </w:rPr>
        <w:t>乙方对于标的物的清运需在</w:t>
      </w:r>
      <w:r>
        <w:rPr>
          <w:rFonts w:hint="eastAsia" w:ascii="仿宋_GB2312" w:hAnsi="仿宋_GB2312" w:eastAsia="仿宋_GB2312" w:cs="仿宋_GB2312"/>
          <w:spacing w:val="6"/>
          <w:kern w:val="10"/>
          <w:sz w:val="32"/>
          <w:szCs w:val="32"/>
          <w:lang w:val="en-US" w:eastAsia="zh-CN"/>
        </w:rPr>
        <w:t>签订本合同</w:t>
      </w:r>
      <w:r>
        <w:rPr>
          <w:rFonts w:hint="eastAsia" w:ascii="仿宋_GB2312" w:hAnsi="仿宋_GB2312" w:eastAsia="仿宋_GB2312" w:cs="仿宋_GB2312"/>
          <w:color w:val="auto"/>
          <w:spacing w:val="6"/>
          <w:kern w:val="10"/>
          <w:sz w:val="32"/>
          <w:szCs w:val="32"/>
          <w:lang w:val="en-US" w:eastAsia="zh-CN"/>
        </w:rPr>
        <w:t>后360</w:t>
      </w:r>
      <w:bookmarkStart w:id="0" w:name="_GoBack"/>
      <w:bookmarkEnd w:id="0"/>
      <w:r>
        <w:rPr>
          <w:rFonts w:hint="eastAsia" w:ascii="仿宋_GB2312" w:hAnsi="仿宋_GB2312" w:eastAsia="仿宋_GB2312" w:cs="仿宋_GB2312"/>
          <w:color w:val="auto"/>
          <w:spacing w:val="6"/>
          <w:kern w:val="10"/>
          <w:sz w:val="32"/>
          <w:szCs w:val="32"/>
        </w:rPr>
        <w:t>天</w:t>
      </w:r>
      <w:r>
        <w:rPr>
          <w:rFonts w:hint="eastAsia" w:ascii="仿宋_GB2312" w:hAnsi="仿宋_GB2312" w:eastAsia="仿宋_GB2312" w:cs="仿宋_GB2312"/>
          <w:color w:val="000000"/>
          <w:spacing w:val="6"/>
          <w:kern w:val="10"/>
          <w:sz w:val="32"/>
          <w:szCs w:val="32"/>
        </w:rPr>
        <w:t>内完成</w:t>
      </w:r>
      <w:r>
        <w:rPr>
          <w:rStyle w:val="5"/>
          <w:rFonts w:hint="eastAsia" w:ascii="仿宋_GB2312" w:hAnsi="仿宋_GB2312" w:eastAsia="仿宋_GB2312" w:cs="仿宋_GB2312"/>
          <w:spacing w:val="6"/>
          <w:kern w:val="10"/>
          <w:sz w:val="32"/>
          <w:szCs w:val="32"/>
        </w:rPr>
        <w:t>，涉及标的清运所需要的进出场道路、场区管理等事宜根据竞得人需要，由我镇牵头与相关单位协调解决。</w:t>
      </w:r>
      <w:r>
        <w:rPr>
          <w:rStyle w:val="5"/>
          <w:rFonts w:hint="eastAsia" w:ascii="仿宋_GB2312" w:hAnsi="仿宋_GB2312" w:eastAsia="仿宋_GB2312" w:cs="仿宋_GB2312"/>
          <w:spacing w:val="6"/>
          <w:kern w:val="10"/>
          <w:sz w:val="32"/>
          <w:szCs w:val="32"/>
          <w:lang w:val="en-US"/>
        </w:rPr>
        <w:t>乙方需</w:t>
      </w:r>
      <w:r>
        <w:rPr>
          <w:rStyle w:val="5"/>
          <w:rFonts w:hint="eastAsia" w:ascii="仿宋_GB2312" w:hAnsi="仿宋_GB2312" w:eastAsia="仿宋_GB2312" w:cs="仿宋_GB2312"/>
          <w:spacing w:val="6"/>
          <w:kern w:val="10"/>
          <w:sz w:val="32"/>
          <w:szCs w:val="32"/>
        </w:rPr>
        <w:t>依法</w:t>
      </w:r>
      <w:r>
        <w:rPr>
          <w:rStyle w:val="5"/>
          <w:rFonts w:hint="eastAsia" w:ascii="仿宋_GB2312" w:hAnsi="仿宋_GB2312" w:eastAsia="仿宋_GB2312" w:cs="仿宋_GB2312"/>
          <w:spacing w:val="6"/>
          <w:kern w:val="10"/>
          <w:sz w:val="32"/>
          <w:szCs w:val="32"/>
          <w:lang w:val="en-US"/>
        </w:rPr>
        <w:t>依规</w:t>
      </w:r>
      <w:r>
        <w:rPr>
          <w:rStyle w:val="5"/>
          <w:rFonts w:hint="eastAsia" w:ascii="仿宋_GB2312" w:hAnsi="仿宋_GB2312" w:eastAsia="仿宋_GB2312" w:cs="仿宋_GB2312"/>
          <w:spacing w:val="6"/>
          <w:kern w:val="10"/>
          <w:sz w:val="32"/>
          <w:szCs w:val="32"/>
        </w:rPr>
        <w:t>进行运输</w:t>
      </w:r>
      <w:r>
        <w:rPr>
          <w:rStyle w:val="5"/>
          <w:rFonts w:hint="eastAsia" w:ascii="仿宋_GB2312" w:hAnsi="仿宋_GB2312" w:eastAsia="仿宋_GB2312" w:cs="仿宋_GB2312"/>
          <w:spacing w:val="6"/>
          <w:kern w:val="10"/>
          <w:sz w:val="32"/>
          <w:szCs w:val="32"/>
          <w:lang w:val="en-US"/>
        </w:rPr>
        <w:t>和</w:t>
      </w:r>
      <w:r>
        <w:rPr>
          <w:rStyle w:val="5"/>
          <w:rFonts w:hint="eastAsia" w:ascii="仿宋_GB2312" w:hAnsi="仿宋_GB2312" w:eastAsia="仿宋_GB2312" w:cs="仿宋_GB2312"/>
          <w:spacing w:val="6"/>
          <w:kern w:val="10"/>
          <w:sz w:val="32"/>
          <w:szCs w:val="32"/>
        </w:rPr>
        <w:t>作业，遵循相关部门的要求，做好安全生产、扬尘防护等相关工作，防止环境污染，节约集约利用</w:t>
      </w:r>
      <w:r>
        <w:rPr>
          <w:rStyle w:val="5"/>
          <w:rFonts w:hint="eastAsia" w:ascii="仿宋_GB2312" w:hAnsi="仿宋_GB2312" w:eastAsia="仿宋_GB2312" w:cs="仿宋_GB2312"/>
          <w:spacing w:val="6"/>
          <w:kern w:val="10"/>
          <w:sz w:val="32"/>
          <w:szCs w:val="32"/>
          <w:lang w:val="en-US"/>
        </w:rPr>
        <w:t>土</w:t>
      </w:r>
      <w:r>
        <w:rPr>
          <w:rStyle w:val="5"/>
          <w:rFonts w:hint="eastAsia" w:ascii="仿宋_GB2312" w:hAnsi="仿宋_GB2312" w:eastAsia="仿宋_GB2312" w:cs="仿宋_GB2312"/>
          <w:spacing w:val="6"/>
          <w:kern w:val="10"/>
          <w:sz w:val="32"/>
          <w:szCs w:val="32"/>
        </w:rPr>
        <w:t>石方资源，</w:t>
      </w:r>
      <w:r>
        <w:rPr>
          <w:rFonts w:hint="eastAsia" w:ascii="仿宋_GB2312" w:hAnsi="仿宋_GB2312" w:eastAsia="仿宋_GB2312" w:cs="仿宋_GB2312"/>
          <w:color w:val="000000"/>
          <w:spacing w:val="6"/>
          <w:kern w:val="10"/>
          <w:sz w:val="32"/>
          <w:szCs w:val="32"/>
        </w:rPr>
        <w:t>并承担相关一切费用。</w:t>
      </w:r>
    </w:p>
    <w:p w14:paraId="47E2C7E6">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color w:val="000000"/>
          <w:spacing w:val="6"/>
          <w:kern w:val="10"/>
          <w:sz w:val="32"/>
          <w:szCs w:val="32"/>
          <w:highlight w:val="none"/>
        </w:rPr>
      </w:pPr>
      <w:r>
        <w:rPr>
          <w:rFonts w:hint="eastAsia" w:ascii="仿宋_GB2312" w:hAnsi="仿宋_GB2312" w:eastAsia="仿宋_GB2312" w:cs="仿宋_GB2312"/>
          <w:color w:val="000000"/>
          <w:spacing w:val="6"/>
          <w:kern w:val="10"/>
          <w:sz w:val="32"/>
          <w:szCs w:val="32"/>
          <w:highlight w:val="none"/>
        </w:rPr>
        <w:t>（四）乙方若不能在合同约定期限内完成标的物的清运，甲方可自行聘请第三方对剩余土方（石料）进行勘测评估，代为清运，并通过法定程序将所需费用告知乙方，再向乙方进行追缴。</w:t>
      </w:r>
    </w:p>
    <w:p w14:paraId="0CB5255D">
      <w:pPr>
        <w:overflowPunct w:val="0"/>
        <w:topLinePunct/>
        <w:autoSpaceDE w:val="0"/>
        <w:autoSpaceDN w:val="0"/>
        <w:adjustRightInd w:val="0"/>
        <w:snapToGrid w:val="0"/>
        <w:spacing w:line="336" w:lineRule="auto"/>
        <w:rPr>
          <w:rFonts w:hint="eastAsia" w:ascii="仿宋_GB2312" w:hAnsi="仿宋_GB2312" w:eastAsia="仿宋_GB2312" w:cs="仿宋_GB2312"/>
          <w:b/>
          <w:bCs/>
          <w:spacing w:val="6"/>
          <w:kern w:val="10"/>
          <w:sz w:val="32"/>
          <w:szCs w:val="32"/>
        </w:rPr>
      </w:pPr>
      <w:r>
        <w:rPr>
          <w:rFonts w:hint="eastAsia" w:ascii="仿宋_GB2312" w:hAnsi="仿宋_GB2312" w:eastAsia="仿宋_GB2312" w:cs="仿宋_GB2312"/>
          <w:b/>
          <w:bCs/>
          <w:spacing w:val="6"/>
          <w:kern w:val="10"/>
          <w:sz w:val="32"/>
          <w:szCs w:val="32"/>
        </w:rPr>
        <w:t>四、纠纷的解决</w:t>
      </w:r>
    </w:p>
    <w:p w14:paraId="599CF4DB">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spacing w:val="6"/>
          <w:kern w:val="10"/>
          <w:sz w:val="32"/>
          <w:szCs w:val="32"/>
        </w:rPr>
      </w:pPr>
      <w:r>
        <w:rPr>
          <w:rFonts w:hint="eastAsia" w:ascii="仿宋_GB2312" w:hAnsi="仿宋_GB2312" w:eastAsia="仿宋_GB2312" w:cs="仿宋_GB2312"/>
          <w:spacing w:val="6"/>
          <w:kern w:val="10"/>
          <w:sz w:val="32"/>
          <w:szCs w:val="32"/>
        </w:rPr>
        <w:t>凡因履行本合同所发生的争议，甲、乙双方应友好协商解决，如协商不成，任何一方有权依法向惠东县人民法院起诉。</w:t>
      </w:r>
    </w:p>
    <w:p w14:paraId="725F9D6C">
      <w:pPr>
        <w:overflowPunct w:val="0"/>
        <w:topLinePunct/>
        <w:autoSpaceDE w:val="0"/>
        <w:autoSpaceDN w:val="0"/>
        <w:adjustRightInd w:val="0"/>
        <w:snapToGrid w:val="0"/>
        <w:spacing w:line="336" w:lineRule="auto"/>
        <w:rPr>
          <w:rFonts w:hint="eastAsia" w:ascii="仿宋_GB2312" w:hAnsi="仿宋_GB2312" w:eastAsia="仿宋_GB2312" w:cs="仿宋_GB2312"/>
          <w:b/>
          <w:spacing w:val="6"/>
          <w:kern w:val="10"/>
          <w:sz w:val="32"/>
          <w:szCs w:val="32"/>
        </w:rPr>
      </w:pPr>
      <w:r>
        <w:rPr>
          <w:rFonts w:hint="eastAsia" w:ascii="仿宋_GB2312" w:hAnsi="仿宋_GB2312" w:eastAsia="仿宋_GB2312" w:cs="仿宋_GB2312"/>
          <w:b/>
          <w:spacing w:val="6"/>
          <w:kern w:val="10"/>
          <w:sz w:val="32"/>
          <w:szCs w:val="32"/>
        </w:rPr>
        <w:t>五、其他</w:t>
      </w:r>
    </w:p>
    <w:p w14:paraId="12C51F75">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spacing w:val="6"/>
          <w:kern w:val="10"/>
          <w:sz w:val="32"/>
          <w:szCs w:val="32"/>
        </w:rPr>
      </w:pPr>
      <w:r>
        <w:rPr>
          <w:rFonts w:hint="eastAsia" w:ascii="仿宋_GB2312" w:hAnsi="仿宋_GB2312" w:eastAsia="仿宋_GB2312" w:cs="仿宋_GB2312"/>
          <w:spacing w:val="6"/>
          <w:kern w:val="10"/>
          <w:sz w:val="32"/>
          <w:szCs w:val="32"/>
        </w:rPr>
        <w:t>（一）本合同自双方合法代表人签字或盖章之日起生效。</w:t>
      </w:r>
    </w:p>
    <w:p w14:paraId="52FA2199">
      <w:pPr>
        <w:overflowPunct w:val="0"/>
        <w:topLinePunct/>
        <w:autoSpaceDE w:val="0"/>
        <w:autoSpaceDN w:val="0"/>
        <w:adjustRightInd w:val="0"/>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spacing w:val="6"/>
          <w:kern w:val="10"/>
          <w:sz w:val="32"/>
          <w:szCs w:val="32"/>
        </w:rPr>
        <w:t>（二）本合同一式</w:t>
      </w:r>
      <w:r>
        <w:rPr>
          <w:rFonts w:hint="eastAsia" w:ascii="仿宋_GB2312" w:hAnsi="仿宋_GB2312" w:eastAsia="仿宋_GB2312" w:cs="仿宋_GB2312"/>
          <w:spacing w:val="6"/>
          <w:kern w:val="10"/>
          <w:sz w:val="32"/>
          <w:szCs w:val="32"/>
          <w:u w:val="single"/>
        </w:rPr>
        <w:t xml:space="preserve"> 三 </w:t>
      </w:r>
      <w:r>
        <w:rPr>
          <w:rFonts w:hint="eastAsia" w:ascii="仿宋_GB2312" w:hAnsi="仿宋_GB2312" w:eastAsia="仿宋_GB2312" w:cs="仿宋_GB2312"/>
          <w:spacing w:val="6"/>
          <w:kern w:val="10"/>
          <w:sz w:val="32"/>
          <w:szCs w:val="32"/>
        </w:rPr>
        <w:t>份，甲、乙方各执</w:t>
      </w:r>
      <w:r>
        <w:rPr>
          <w:rFonts w:hint="eastAsia" w:ascii="仿宋_GB2312" w:hAnsi="仿宋_GB2312" w:eastAsia="仿宋_GB2312" w:cs="仿宋_GB2312"/>
          <w:spacing w:val="6"/>
          <w:kern w:val="10"/>
          <w:sz w:val="32"/>
          <w:szCs w:val="32"/>
          <w:u w:val="single"/>
        </w:rPr>
        <w:t xml:space="preserve"> 一 </w:t>
      </w:r>
      <w:r>
        <w:rPr>
          <w:rFonts w:hint="eastAsia" w:ascii="仿宋_GB2312" w:hAnsi="仿宋_GB2312" w:eastAsia="仿宋_GB2312" w:cs="仿宋_GB2312"/>
          <w:spacing w:val="6"/>
          <w:kern w:val="10"/>
          <w:sz w:val="32"/>
          <w:szCs w:val="32"/>
        </w:rPr>
        <w:t>份，</w:t>
      </w:r>
      <w:r>
        <w:rPr>
          <w:rFonts w:hint="eastAsia" w:ascii="仿宋_GB2312" w:hAnsi="仿宋_GB2312" w:eastAsia="仿宋_GB2312" w:cs="仿宋_GB2312"/>
          <w:color w:val="000000"/>
          <w:spacing w:val="6"/>
          <w:kern w:val="10"/>
          <w:sz w:val="32"/>
          <w:szCs w:val="32"/>
        </w:rPr>
        <w:t>惠州市公共资源交易中心惠东分中心</w:t>
      </w:r>
      <w:r>
        <w:rPr>
          <w:rFonts w:hint="eastAsia" w:ascii="仿宋_GB2312" w:hAnsi="仿宋_GB2312" w:eastAsia="仿宋_GB2312" w:cs="仿宋_GB2312"/>
          <w:spacing w:val="6"/>
          <w:kern w:val="10"/>
          <w:sz w:val="32"/>
          <w:szCs w:val="32"/>
        </w:rPr>
        <w:t>备案</w:t>
      </w:r>
      <w:r>
        <w:rPr>
          <w:rFonts w:hint="eastAsia" w:ascii="仿宋_GB2312" w:hAnsi="仿宋_GB2312" w:eastAsia="仿宋_GB2312" w:cs="仿宋_GB2312"/>
          <w:spacing w:val="6"/>
          <w:kern w:val="10"/>
          <w:sz w:val="32"/>
          <w:szCs w:val="32"/>
          <w:u w:val="single"/>
        </w:rPr>
        <w:t xml:space="preserve"> 一 </w:t>
      </w:r>
      <w:r>
        <w:rPr>
          <w:rFonts w:hint="eastAsia" w:ascii="仿宋_GB2312" w:hAnsi="仿宋_GB2312" w:eastAsia="仿宋_GB2312" w:cs="仿宋_GB2312"/>
          <w:spacing w:val="6"/>
          <w:kern w:val="10"/>
          <w:sz w:val="32"/>
          <w:szCs w:val="32"/>
        </w:rPr>
        <w:t>份，均具同等法律效力。</w:t>
      </w:r>
    </w:p>
    <w:p w14:paraId="57FEE6FB">
      <w:pPr>
        <w:pStyle w:val="4"/>
        <w:snapToGrid w:val="0"/>
        <w:spacing w:line="336" w:lineRule="auto"/>
        <w:rPr>
          <w:rFonts w:hint="eastAsia" w:ascii="仿宋_GB2312" w:hAnsi="仿宋_GB2312" w:eastAsia="仿宋_GB2312" w:cs="仿宋_GB2312"/>
          <w:color w:val="000000"/>
          <w:spacing w:val="6"/>
          <w:kern w:val="10"/>
          <w:sz w:val="32"/>
          <w:szCs w:val="32"/>
        </w:rPr>
      </w:pPr>
    </w:p>
    <w:p w14:paraId="19514847">
      <w:pPr>
        <w:pStyle w:val="4"/>
        <w:snapToGrid w:val="0"/>
        <w:spacing w:line="336" w:lineRule="auto"/>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附件：</w:t>
      </w:r>
    </w:p>
    <w:p w14:paraId="17912C0C">
      <w:pPr>
        <w:pStyle w:val="4"/>
        <w:snapToGrid w:val="0"/>
        <w:spacing w:line="336" w:lineRule="auto"/>
        <w:ind w:left="638" w:leftChars="304"/>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1.</w:t>
      </w:r>
      <w:r>
        <w:rPr>
          <w:rFonts w:hint="eastAsia" w:ascii="仿宋_GB2312" w:hAnsi="仿宋_GB2312" w:eastAsia="仿宋_GB2312" w:cs="仿宋_GB2312"/>
          <w:color w:val="000000"/>
          <w:sz w:val="32"/>
          <w:szCs w:val="32"/>
        </w:rPr>
        <w:t>《</w:t>
      </w:r>
      <w:r>
        <w:rPr>
          <w:rStyle w:val="5"/>
          <w:rFonts w:hint="eastAsia" w:eastAsia="仿宋_GB2312"/>
          <w:spacing w:val="6"/>
          <w:kern w:val="10"/>
          <w:sz w:val="32"/>
          <w:szCs w:val="32"/>
        </w:rPr>
        <w:t>黄埠镇沙埔村4宗地块砂石余渣处置项目</w:t>
      </w:r>
      <w:r>
        <w:rPr>
          <w:rFonts w:hint="eastAsia" w:ascii="仿宋_GB2312" w:hAnsi="仿宋_GB2312" w:eastAsia="仿宋_GB2312" w:cs="仿宋_GB2312"/>
          <w:color w:val="000000"/>
          <w:sz w:val="32"/>
          <w:szCs w:val="32"/>
        </w:rPr>
        <w:t>公开挂牌</w:t>
      </w:r>
      <w:r>
        <w:rPr>
          <w:rFonts w:hint="eastAsia" w:ascii="仿宋_GB2312" w:hAnsi="仿宋_GB2312" w:eastAsia="仿宋_GB2312" w:cs="仿宋_GB2312"/>
          <w:color w:val="000000"/>
          <w:sz w:val="32"/>
          <w:szCs w:val="32"/>
          <w:lang w:eastAsia="zh-CN"/>
        </w:rPr>
        <w:t>转让</w:t>
      </w:r>
      <w:r>
        <w:rPr>
          <w:rFonts w:hint="eastAsia" w:ascii="仿宋_GB2312" w:hAnsi="仿宋_GB2312" w:eastAsia="仿宋_GB2312" w:cs="仿宋_GB2312"/>
          <w:color w:val="000000"/>
          <w:sz w:val="32"/>
          <w:szCs w:val="32"/>
        </w:rPr>
        <w:t>的说明</w:t>
      </w:r>
      <w:r>
        <w:rPr>
          <w:rFonts w:hint="eastAsia" w:ascii="仿宋_GB2312" w:hAnsi="仿宋_GB2312" w:eastAsia="仿宋_GB2312" w:cs="仿宋_GB2312"/>
          <w:color w:val="000000"/>
          <w:spacing w:val="6"/>
          <w:kern w:val="10"/>
          <w:sz w:val="32"/>
          <w:szCs w:val="32"/>
        </w:rPr>
        <w:t>》</w:t>
      </w:r>
    </w:p>
    <w:p w14:paraId="6370D0F7">
      <w:pPr>
        <w:pStyle w:val="4"/>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2.《产权交易成交通知书》</w:t>
      </w:r>
    </w:p>
    <w:p w14:paraId="37A121C7">
      <w:pPr>
        <w:pStyle w:val="4"/>
        <w:snapToGrid w:val="0"/>
        <w:spacing w:line="336" w:lineRule="auto"/>
        <w:rPr>
          <w:rFonts w:hint="eastAsia" w:ascii="仿宋_GB2312" w:hAnsi="仿宋_GB2312" w:eastAsia="仿宋_GB2312" w:cs="仿宋_GB2312"/>
          <w:color w:val="000000"/>
          <w:spacing w:val="6"/>
          <w:kern w:val="10"/>
          <w:sz w:val="32"/>
          <w:szCs w:val="32"/>
        </w:rPr>
      </w:pPr>
    </w:p>
    <w:p w14:paraId="30121CAA">
      <w:pPr>
        <w:pStyle w:val="4"/>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甲方：（盖章）</w:t>
      </w:r>
    </w:p>
    <w:p w14:paraId="0E12AC0F">
      <w:pPr>
        <w:pStyle w:val="4"/>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 xml:space="preserve">法定代表人或授权代表（签字）： </w:t>
      </w:r>
    </w:p>
    <w:p w14:paraId="631938E8">
      <w:pPr>
        <w:pStyle w:val="4"/>
        <w:snapToGrid w:val="0"/>
        <w:spacing w:line="336" w:lineRule="auto"/>
        <w:rPr>
          <w:rFonts w:hint="eastAsia" w:ascii="仿宋_GB2312" w:hAnsi="仿宋_GB2312" w:eastAsia="仿宋_GB2312" w:cs="仿宋_GB2312"/>
          <w:color w:val="000000"/>
          <w:spacing w:val="6"/>
          <w:kern w:val="10"/>
          <w:sz w:val="32"/>
          <w:szCs w:val="32"/>
        </w:rPr>
      </w:pPr>
    </w:p>
    <w:p w14:paraId="2A8C0330">
      <w:pPr>
        <w:pStyle w:val="4"/>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乙方（盖章）：</w:t>
      </w:r>
    </w:p>
    <w:p w14:paraId="71A5F8E3">
      <w:pPr>
        <w:pStyle w:val="4"/>
        <w:snapToGrid w:val="0"/>
        <w:spacing w:line="336" w:lineRule="auto"/>
        <w:ind w:firstLine="664" w:firstLineChars="200"/>
        <w:rPr>
          <w:rFonts w:hint="eastAsia" w:ascii="仿宋_GB2312" w:hAnsi="仿宋_GB2312" w:eastAsia="仿宋_GB2312" w:cs="仿宋_GB2312"/>
          <w:color w:val="000000"/>
          <w:spacing w:val="6"/>
          <w:kern w:val="10"/>
          <w:sz w:val="32"/>
          <w:szCs w:val="32"/>
        </w:rPr>
      </w:pPr>
      <w:r>
        <w:rPr>
          <w:rFonts w:hint="eastAsia" w:ascii="仿宋_GB2312" w:hAnsi="仿宋_GB2312" w:eastAsia="仿宋_GB2312" w:cs="仿宋_GB2312"/>
          <w:color w:val="000000"/>
          <w:spacing w:val="6"/>
          <w:kern w:val="10"/>
          <w:sz w:val="32"/>
          <w:szCs w:val="32"/>
        </w:rPr>
        <w:t>法定代表人/负责人或授权代表（签字）：</w:t>
      </w:r>
    </w:p>
    <w:p w14:paraId="6B4411E6">
      <w:pPr>
        <w:pStyle w:val="4"/>
        <w:snapToGrid w:val="0"/>
        <w:spacing w:line="336" w:lineRule="auto"/>
        <w:rPr>
          <w:rFonts w:hint="eastAsia" w:ascii="仿宋_GB2312" w:hAnsi="仿宋_GB2312" w:eastAsia="仿宋_GB2312" w:cs="仿宋_GB2312"/>
          <w:color w:val="000000"/>
          <w:spacing w:val="6"/>
          <w:kern w:val="10"/>
          <w:sz w:val="32"/>
          <w:szCs w:val="32"/>
        </w:rPr>
      </w:pPr>
    </w:p>
    <w:p w14:paraId="21FB4F41">
      <w:pPr>
        <w:pStyle w:val="4"/>
        <w:snapToGrid w:val="0"/>
        <w:spacing w:line="336" w:lineRule="auto"/>
        <w:ind w:firstLine="664" w:firstLineChars="200"/>
        <w:jc w:val="left"/>
        <w:rPr>
          <w:rFonts w:hint="eastAsia" w:ascii="仿宋_GB2312" w:hAnsi="仿宋_GB2312" w:eastAsia="仿宋_GB2312" w:cs="仿宋_GB2312"/>
          <w:spacing w:val="6"/>
          <w:kern w:val="10"/>
          <w:sz w:val="32"/>
          <w:szCs w:val="32"/>
        </w:rPr>
      </w:pPr>
      <w:r>
        <w:rPr>
          <w:rFonts w:hint="eastAsia" w:ascii="仿宋_GB2312" w:hAnsi="仿宋_GB2312" w:eastAsia="仿宋_GB2312" w:cs="仿宋_GB2312"/>
          <w:color w:val="000000"/>
          <w:spacing w:val="6"/>
          <w:kern w:val="10"/>
          <w:sz w:val="32"/>
          <w:szCs w:val="32"/>
        </w:rPr>
        <w:t>签订日期：    年    月   日</w:t>
      </w:r>
      <w:r>
        <w:rPr>
          <w:rFonts w:hint="eastAsia" w:ascii="仿宋_GB2312" w:hAnsi="仿宋_GB2312" w:eastAsia="仿宋_GB2312" w:cs="仿宋_GB2312"/>
          <w:spacing w:val="6"/>
          <w:kern w:val="10"/>
          <w:sz w:val="32"/>
          <w:szCs w:val="32"/>
        </w:rPr>
        <w:t xml:space="preserve"> </w:t>
      </w:r>
    </w:p>
    <w:p w14:paraId="5D4D4148">
      <w:pPr>
        <w:spacing w:line="336" w:lineRule="auto"/>
        <w:rPr>
          <w:rFonts w:hint="eastAsia" w:ascii="仿宋_GB2312" w:hAnsi="仿宋_GB2312" w:eastAsia="仿宋_GB2312" w:cs="仿宋_GB2312"/>
          <w:spacing w:val="6"/>
          <w:kern w:val="10"/>
          <w:sz w:val="32"/>
          <w:szCs w:val="32"/>
        </w:rPr>
      </w:pPr>
    </w:p>
    <w:p w14:paraId="46BD16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50"/>
    <w:rsid w:val="00367550"/>
    <w:rsid w:val="00B637E0"/>
    <w:rsid w:val="08282865"/>
    <w:rsid w:val="107249FC"/>
    <w:rsid w:val="1D695872"/>
    <w:rsid w:val="20DA3A98"/>
    <w:rsid w:val="2B0235AF"/>
    <w:rsid w:val="42266457"/>
    <w:rsid w:val="4809678E"/>
    <w:rsid w:val="4BA50863"/>
    <w:rsid w:val="6E5D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纯文本1"/>
    <w:basedOn w:val="1"/>
    <w:qFormat/>
    <w:uiPriority w:val="0"/>
    <w:rPr>
      <w:rFonts w:ascii="宋体" w:hAnsi="Courier New"/>
    </w:rPr>
  </w:style>
  <w:style w:type="character" w:customStyle="1" w:styleId="5">
    <w:name w:val="NormalCharacter"/>
    <w:semiHidden/>
    <w:qFormat/>
    <w:uiPriority w:val="0"/>
    <w:rPr>
      <w:rFonts w:hint="default"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1341</Words>
  <Characters>1345</Characters>
  <Lines>11</Lines>
  <Paragraphs>3</Paragraphs>
  <TotalTime>5</TotalTime>
  <ScaleCrop>false</ScaleCrop>
  <LinksUpToDate>false</LinksUpToDate>
  <CharactersWithSpaces>1460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2024-12-30T02:06:00Z</dcterms:created>
  <dc:creator>桐笑</dc:creator>
  <cp:lastModifiedBy>飞仔</cp:lastModifiedBy>
  <dcterms:modified xsi:type="dcterms:W3CDTF">2025-12-30T06:03:56Z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eyJoZGlkIjoiMzMzN2YxMzhmMWE5Mjc4YmE1OTlhNjU3MjhhY2M4YzIiLCJ1c2VySWQiOiIxMjY4MjU4MTkzIn0=</vt:lpwstr>
  </property>
  <property fmtid="{D5CDD505-2E9C-101B-9397-08002B2CF9AE}" pid="3" name="KSOProductBuildVer">
    <vt:lpwstr>2052-12.1.0.24034</vt:lpwstr>
  </property>
  <property fmtid="{D5CDD505-2E9C-101B-9397-08002B2CF9AE}" pid="4" name="ICV">
    <vt:lpwstr>FA72FBE5152F40FF87412B4796F491FF_13</vt:lpwstr>
  </property>
</Properties>
</file>