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atLeast"/>
        <w:ind w:firstLine="723" w:firstLineChars="200"/>
        <w:jc w:val="center"/>
        <w:rPr>
          <w:rFonts w:hint="eastAsia" w:ascii="仿宋_GB2312" w:hAnsi="黑体" w:eastAsia="仿宋_GB2312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关于惠城区江南街道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下角中路菱湖三路路口商铺等共2间档口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招租竞价条件说明</w:t>
      </w:r>
    </w:p>
    <w:p>
      <w:pPr>
        <w:tabs>
          <w:tab w:val="left" w:pos="709"/>
        </w:tabs>
        <w:spacing w:line="520" w:lineRule="exact"/>
        <w:ind w:firstLine="600" w:firstLineChars="200"/>
        <w:jc w:val="center"/>
        <w:rPr>
          <w:rFonts w:hint="eastAsia" w:ascii="仿宋" w:hAnsi="仿宋" w:eastAsia="仿宋"/>
          <w:color w:val="auto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甲方位于惠城区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下角中路菱湖三路路口商铺（面积20平方米）、惠城区下角中路21号综合楼第一间商铺（面积50平方米）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以现状实物为准进行电子竞价交易招租。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、租赁年限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及用途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1、该物业租赁年限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为期三年整，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以签订正式合同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日期算起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租赁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商铺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用作乙方的经营场所使用，改变用途须经甲方同意。同时，乙方的生产经营活动须按相关法律、法规生产经营。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shd w:val="clear" w:color="auto" w:fill="FFFFFF"/>
        </w:rPr>
        <w:t>、租金及缴纳方式：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本物业以现状实物为准进行电子竞价交易招租，租赁物业为月租金缴交方式，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惠城区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下角中路菱湖三路路口商铺交易底价为人民币贰仟肆佰贰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元整（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¥2425.00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元/月）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、惠城区下角中路21号综合楼第一间商铺交易底价为人民币伍仟零贰拾伍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元整（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¥5025.00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元/月）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，最终以成交价计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1、租金及缴纳：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自签订合同之日起至三年整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，月租金按成交价计算（含租赁税价），不包含水电费、物业管理费、维修费等其他自付费。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2、乙方于每月10日前按照协议规定向甲方支付当月租金，乙方应将租金转入到甲方指定的银行账户。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三、竞拍人条件说明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1、根据交易底价不得低于评估价的规定，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按价高者得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原则。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2、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竞拍人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为企业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/个人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按时缴交租金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的企业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/个人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四、交易保证金收退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名时须交纳竞投保证金，惠城区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下角中路菱湖三路路口商铺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保证金为人民币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仟元整（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¥5000.00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元）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、惠城区下角中路21号综合楼第一间商铺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保证金为人民币壹万元整（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¥10000.00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元），保证金以到账为准（不接受现金报名）。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五、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shd w:val="clear" w:color="auto" w:fill="FFFFFF"/>
        </w:rPr>
        <w:t>中标后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发放成交通知书及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shd w:val="clear" w:color="auto" w:fill="FFFFFF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、中标方（竞得方）须在确定取得租赁经营权（即中标）之日起10个工作日内与惠州市惠城区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江南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街道办事处（下称办事处）签订物业租赁合同（该合同由办事处提供，详见附件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，竞拍人要认真审阅合同范本条款，在竞得后须按照合同范本签订合同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），逾期未签订合同的视为自动放弃租赁物业经营权，在报名时所缴纳的竞拍保证金将不予退还。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、双方签订正式合同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(与公示合同一致）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时，中标方（竞得方）须缴纳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两个月租金给甲方作为押金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。在委托方收到中标方缴纳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的押金等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费用后方可退还报名时所缴纳的竞拍保证金。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中标方（竞得方）要依法、文明、和谐、安全经营，自负盈亏，自主解决大小安全事务，服从委托方（物业公司）的管理，统一由竞得人并按规定缴纳经营期所产生的所有费用，经营过程中所有税费、罚款、相关责任事故等由竞得人全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、中标方（竞得方）实施租赁物业内、外部或装修、改造前应书面上报规划设计方案给甲方（建管所）备案并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书面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、其他事项由委托方与中标方协商，以签订正式合同为准。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40" w:firstLineChars="205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惠州市惠城区人民政府江南街道办事处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077" w:right="1134" w:bottom="1077" w:left="1134" w:header="851" w:footer="992" w:gutter="0"/>
          <w:paperSrc w:other="7"/>
          <w:cols w:space="720" w:num="1"/>
          <w:docGrid w:linePitch="415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                            2024年9月11日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6" w:type="default"/>
      <w:pgSz w:w="11907" w:h="16840"/>
      <w:pgMar w:top="1077" w:right="1134" w:bottom="1077" w:left="1134" w:header="851" w:footer="992" w:gutter="0"/>
      <w:paperSrc w:other="7"/>
      <w:cols w:space="720" w:num="1"/>
      <w:docGrid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DNiMTJkODA5OTJiODczMTBmNjZlOTQ0YzZhZmQifQ=="/>
  </w:docVars>
  <w:rsids>
    <w:rsidRoot w:val="00000000"/>
    <w:rsid w:val="044F084A"/>
    <w:rsid w:val="04C478C2"/>
    <w:rsid w:val="0688110A"/>
    <w:rsid w:val="07983E97"/>
    <w:rsid w:val="0BED167B"/>
    <w:rsid w:val="0C395F24"/>
    <w:rsid w:val="0DB8280D"/>
    <w:rsid w:val="0E013696"/>
    <w:rsid w:val="0E8611C8"/>
    <w:rsid w:val="0E927B6D"/>
    <w:rsid w:val="0F1D38DB"/>
    <w:rsid w:val="0FF22FB9"/>
    <w:rsid w:val="11254CC9"/>
    <w:rsid w:val="14085BBB"/>
    <w:rsid w:val="15750D67"/>
    <w:rsid w:val="16A702D1"/>
    <w:rsid w:val="16D1584A"/>
    <w:rsid w:val="1706559C"/>
    <w:rsid w:val="17461A89"/>
    <w:rsid w:val="190D0F66"/>
    <w:rsid w:val="1B404177"/>
    <w:rsid w:val="1BA66D9B"/>
    <w:rsid w:val="1D970CFC"/>
    <w:rsid w:val="1DB04D57"/>
    <w:rsid w:val="1F074E02"/>
    <w:rsid w:val="1F9F20EA"/>
    <w:rsid w:val="1FF41E89"/>
    <w:rsid w:val="20014A97"/>
    <w:rsid w:val="207F02C7"/>
    <w:rsid w:val="24034921"/>
    <w:rsid w:val="25FD7B6A"/>
    <w:rsid w:val="261631C3"/>
    <w:rsid w:val="26280E84"/>
    <w:rsid w:val="26572B10"/>
    <w:rsid w:val="27897907"/>
    <w:rsid w:val="27DB0260"/>
    <w:rsid w:val="280166D5"/>
    <w:rsid w:val="281C7A06"/>
    <w:rsid w:val="288E5978"/>
    <w:rsid w:val="2A157B78"/>
    <w:rsid w:val="2AF96EC1"/>
    <w:rsid w:val="2B23099B"/>
    <w:rsid w:val="2BC63FBD"/>
    <w:rsid w:val="2C13438D"/>
    <w:rsid w:val="2C2045FF"/>
    <w:rsid w:val="2D6A2BA6"/>
    <w:rsid w:val="2D7D4A07"/>
    <w:rsid w:val="2E110CEE"/>
    <w:rsid w:val="2ECE02C7"/>
    <w:rsid w:val="2FC46CC6"/>
    <w:rsid w:val="30BF418F"/>
    <w:rsid w:val="30CB71E3"/>
    <w:rsid w:val="31ED3D4E"/>
    <w:rsid w:val="321557DD"/>
    <w:rsid w:val="334B460B"/>
    <w:rsid w:val="33C85C5B"/>
    <w:rsid w:val="35B9585C"/>
    <w:rsid w:val="363A1D02"/>
    <w:rsid w:val="36877708"/>
    <w:rsid w:val="36F154C9"/>
    <w:rsid w:val="378C2093"/>
    <w:rsid w:val="384B35F6"/>
    <w:rsid w:val="386D3423"/>
    <w:rsid w:val="38A8605B"/>
    <w:rsid w:val="3B0378EE"/>
    <w:rsid w:val="3CAD1E92"/>
    <w:rsid w:val="40155D85"/>
    <w:rsid w:val="42DE7E82"/>
    <w:rsid w:val="42F154BF"/>
    <w:rsid w:val="4471610D"/>
    <w:rsid w:val="44D66606"/>
    <w:rsid w:val="45401AF6"/>
    <w:rsid w:val="497302D0"/>
    <w:rsid w:val="4A266DE0"/>
    <w:rsid w:val="4AAA17BF"/>
    <w:rsid w:val="4C5316A7"/>
    <w:rsid w:val="4D700A39"/>
    <w:rsid w:val="4ECE2BDF"/>
    <w:rsid w:val="4F135B85"/>
    <w:rsid w:val="4F7D74A2"/>
    <w:rsid w:val="4F957155"/>
    <w:rsid w:val="503F0ED0"/>
    <w:rsid w:val="506B7C43"/>
    <w:rsid w:val="534536B1"/>
    <w:rsid w:val="53AC0E5A"/>
    <w:rsid w:val="56B2398C"/>
    <w:rsid w:val="57FF604A"/>
    <w:rsid w:val="58A75590"/>
    <w:rsid w:val="59246BE1"/>
    <w:rsid w:val="5AA56F13"/>
    <w:rsid w:val="5C3C46D3"/>
    <w:rsid w:val="5DE2451F"/>
    <w:rsid w:val="5FD66077"/>
    <w:rsid w:val="6076100C"/>
    <w:rsid w:val="617821BF"/>
    <w:rsid w:val="646A2293"/>
    <w:rsid w:val="65984391"/>
    <w:rsid w:val="66BE5DB4"/>
    <w:rsid w:val="66E51E0D"/>
    <w:rsid w:val="671B700D"/>
    <w:rsid w:val="673E125E"/>
    <w:rsid w:val="68294213"/>
    <w:rsid w:val="6854628D"/>
    <w:rsid w:val="6A1F142A"/>
    <w:rsid w:val="6B0C7860"/>
    <w:rsid w:val="6B8A2DFD"/>
    <w:rsid w:val="6BC91CA9"/>
    <w:rsid w:val="6DC81F3E"/>
    <w:rsid w:val="720D15DB"/>
    <w:rsid w:val="73387483"/>
    <w:rsid w:val="734F0FD2"/>
    <w:rsid w:val="73E536E4"/>
    <w:rsid w:val="74C53E7A"/>
    <w:rsid w:val="75193E42"/>
    <w:rsid w:val="752078A6"/>
    <w:rsid w:val="75664E30"/>
    <w:rsid w:val="75B461C7"/>
    <w:rsid w:val="78AF6EC8"/>
    <w:rsid w:val="793423F3"/>
    <w:rsid w:val="7C514D82"/>
    <w:rsid w:val="7EE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1165</Characters>
  <Lines>0</Lines>
  <Paragraphs>0</Paragraphs>
  <TotalTime>109</TotalTime>
  <ScaleCrop>false</ScaleCrop>
  <LinksUpToDate>false</LinksUpToDate>
  <CharactersWithSpaces>1289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2020-10-13T07:02:00Z</dcterms:created>
  <dc:creator>Lenovo</dc:creator>
  <cp:lastModifiedBy>Administrator</cp:lastModifiedBy>
  <cp:lastPrinted>2023-03-31T04:39:00Z</cp:lastPrinted>
  <dcterms:modified xsi:type="dcterms:W3CDTF">2024-09-11T08:57:40Z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264D4BF7828148F4BF490B4B970020F3</vt:lpwstr>
  </property>
</Properties>
</file>