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思源宋体 Heavy" w:hAnsi="思源宋体 Heavy" w:eastAsia="思源宋体 Heavy"/>
          <w:color w:val="auto"/>
          <w:sz w:val="15"/>
          <w:szCs w:val="15"/>
        </w:rPr>
      </w:pPr>
      <w:r>
        <w:rPr>
          <w:rFonts w:hint="eastAsia" w:ascii="思源宋体 Heavy" w:hAnsi="思源宋体 Heavy" w:eastAsia="思源宋体 Heavy"/>
          <w:color w:val="auto"/>
          <w:sz w:val="44"/>
          <w:szCs w:val="32"/>
          <w:lang w:val="en-US" w:eastAsia="zh-CN"/>
        </w:rPr>
        <w:t>滨江公园智慧停车场11-14层办公配套商业用房交易条件说明</w:t>
      </w:r>
      <w:r>
        <w:rPr>
          <w:rFonts w:hint="eastAsia" w:ascii="思源宋体 Heavy" w:hAnsi="思源宋体 Heavy" w:eastAsia="思源宋体 Heavy"/>
          <w:color w:val="auto"/>
          <w:sz w:val="15"/>
          <w:szCs w:val="15"/>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滨江公园</w:t>
      </w:r>
      <w:r>
        <w:rPr>
          <w:rFonts w:hint="eastAsia" w:ascii="仿宋_GB2312" w:eastAsia="仿宋_GB2312"/>
          <w:color w:val="auto"/>
          <w:sz w:val="32"/>
          <w:szCs w:val="32"/>
        </w:rPr>
        <w:t>智慧停车场是我司投资建设的第</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期配套</w:t>
      </w:r>
      <w:r>
        <w:rPr>
          <w:rFonts w:hint="eastAsia" w:ascii="仿宋_GB2312" w:eastAsia="仿宋_GB2312"/>
          <w:color w:val="auto"/>
          <w:sz w:val="32"/>
          <w:szCs w:val="32"/>
          <w:lang w:val="en-US" w:eastAsia="zh-CN"/>
        </w:rPr>
        <w:t>有</w:t>
      </w:r>
      <w:r>
        <w:rPr>
          <w:rFonts w:hint="eastAsia" w:ascii="仿宋_GB2312" w:eastAsia="仿宋_GB2312"/>
          <w:color w:val="auto"/>
          <w:sz w:val="32"/>
          <w:szCs w:val="32"/>
        </w:rPr>
        <w:t>可经营物业的智慧停车场</w:t>
      </w:r>
      <w:r>
        <w:rPr>
          <w:rFonts w:hint="eastAsia" w:ascii="仿宋_GB2312" w:eastAsia="仿宋_GB2312"/>
          <w:color w:val="auto"/>
          <w:sz w:val="32"/>
          <w:szCs w:val="32"/>
          <w:lang w:eastAsia="zh-CN"/>
        </w:rPr>
        <w:t>，</w:t>
      </w:r>
      <w:r>
        <w:rPr>
          <w:rFonts w:hint="eastAsia" w:ascii="仿宋_GB2312" w:eastAsia="仿宋_GB2312"/>
          <w:color w:val="auto"/>
          <w:sz w:val="32"/>
          <w:szCs w:val="32"/>
        </w:rPr>
        <w:t>现结合实际的需要，制定物业</w:t>
      </w:r>
      <w:r>
        <w:rPr>
          <w:rFonts w:hint="eastAsia" w:ascii="仿宋_GB2312" w:eastAsia="仿宋_GB2312"/>
          <w:color w:val="auto"/>
          <w:sz w:val="32"/>
          <w:szCs w:val="32"/>
          <w:lang w:val="en-US" w:eastAsia="zh-CN"/>
        </w:rPr>
        <w:t>挂牌竞价</w:t>
      </w:r>
      <w:r>
        <w:rPr>
          <w:rFonts w:hint="eastAsia" w:ascii="仿宋_GB2312" w:eastAsia="仿宋_GB2312"/>
          <w:color w:val="auto"/>
          <w:sz w:val="32"/>
          <w:szCs w:val="32"/>
        </w:rPr>
        <w:t>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auto"/>
          <w:sz w:val="32"/>
          <w:szCs w:val="32"/>
        </w:rPr>
      </w:pPr>
      <w:r>
        <w:rPr>
          <w:rFonts w:hint="eastAsia" w:ascii="黑体" w:hAnsi="黑体" w:eastAsia="黑体"/>
          <w:color w:val="auto"/>
          <w:sz w:val="32"/>
          <w:szCs w:val="32"/>
        </w:rPr>
        <w:t>一、项目</w:t>
      </w:r>
      <w:r>
        <w:rPr>
          <w:rFonts w:hint="eastAsia" w:ascii="黑体" w:hAnsi="黑体" w:eastAsia="黑体"/>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滨江公园</w:t>
      </w:r>
      <w:r>
        <w:rPr>
          <w:rFonts w:hint="eastAsia" w:ascii="仿宋_GB2312" w:eastAsia="仿宋_GB2312"/>
          <w:color w:val="auto"/>
          <w:sz w:val="32"/>
          <w:szCs w:val="32"/>
        </w:rPr>
        <w:t>智慧停车场位于惠州市惠城区</w:t>
      </w:r>
      <w:r>
        <w:rPr>
          <w:rFonts w:hint="eastAsia" w:ascii="仿宋_GB2312" w:eastAsia="仿宋_GB2312"/>
          <w:color w:val="auto"/>
          <w:sz w:val="32"/>
          <w:szCs w:val="32"/>
          <w:lang w:val="en-US" w:eastAsia="zh-CN"/>
        </w:rPr>
        <w:t>桥西街道</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配备</w:t>
      </w:r>
      <w:r>
        <w:rPr>
          <w:rFonts w:hint="eastAsia" w:ascii="仿宋_GB2312" w:eastAsia="仿宋_GB2312"/>
          <w:color w:val="auto"/>
          <w:sz w:val="32"/>
          <w:szCs w:val="32"/>
        </w:rPr>
        <w:t>机械</w:t>
      </w:r>
      <w:r>
        <w:rPr>
          <w:rFonts w:hint="eastAsia" w:ascii="仿宋_GB2312" w:eastAsia="仿宋_GB2312"/>
          <w:color w:val="auto"/>
          <w:sz w:val="32"/>
          <w:szCs w:val="32"/>
          <w:lang w:val="en-US" w:eastAsia="zh-CN"/>
        </w:rPr>
        <w:t>式</w:t>
      </w:r>
      <w:r>
        <w:rPr>
          <w:rFonts w:hint="eastAsia" w:ascii="仿宋_GB2312" w:eastAsia="仿宋_GB2312"/>
          <w:color w:val="auto"/>
          <w:sz w:val="32"/>
          <w:szCs w:val="32"/>
        </w:rPr>
        <w:t>智能停车设备，</w:t>
      </w:r>
      <w:r>
        <w:rPr>
          <w:rFonts w:hint="eastAsia" w:ascii="仿宋_GB2312" w:eastAsia="仿宋_GB2312"/>
          <w:color w:val="auto"/>
          <w:sz w:val="32"/>
          <w:szCs w:val="32"/>
          <w:lang w:val="en-US" w:eastAsia="zh-CN"/>
        </w:rPr>
        <w:t>设备</w:t>
      </w:r>
      <w:r>
        <w:rPr>
          <w:rFonts w:hint="eastAsia" w:ascii="仿宋_GB2312" w:eastAsia="仿宋_GB2312"/>
          <w:color w:val="auto"/>
          <w:sz w:val="32"/>
          <w:szCs w:val="32"/>
        </w:rPr>
        <w:t>可根据入库车辆的不同大小，自动选择车位，市民只需通过车牌识别或“刷脸”方式，即可实现自主停取车。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目前，</w:t>
      </w:r>
      <w:r>
        <w:rPr>
          <w:rFonts w:hint="eastAsia" w:ascii="仿宋_GB2312" w:eastAsia="仿宋_GB2312"/>
          <w:color w:val="auto"/>
          <w:sz w:val="32"/>
          <w:szCs w:val="32"/>
          <w:lang w:val="en-US" w:eastAsia="zh-CN"/>
        </w:rPr>
        <w:t>滨江公园</w:t>
      </w:r>
      <w:r>
        <w:rPr>
          <w:rFonts w:hint="eastAsia" w:ascii="仿宋_GB2312" w:eastAsia="仿宋_GB2312"/>
          <w:color w:val="auto"/>
          <w:sz w:val="32"/>
          <w:szCs w:val="32"/>
        </w:rPr>
        <w:t>智慧停车场已进入运行阶段，可向社会提供</w:t>
      </w:r>
      <w:r>
        <w:rPr>
          <w:rFonts w:hint="eastAsia" w:ascii="仿宋_GB2312" w:eastAsia="仿宋_GB2312"/>
          <w:color w:val="auto"/>
          <w:sz w:val="32"/>
          <w:szCs w:val="32"/>
          <w:lang w:val="en-US" w:eastAsia="zh-CN"/>
        </w:rPr>
        <w:t>500</w:t>
      </w:r>
      <w:r>
        <w:rPr>
          <w:rFonts w:hint="eastAsia" w:ascii="仿宋_GB2312" w:eastAsia="仿宋_GB2312"/>
          <w:color w:val="auto"/>
          <w:sz w:val="32"/>
          <w:szCs w:val="32"/>
        </w:rPr>
        <w:t>个停车位</w:t>
      </w:r>
      <w:r>
        <w:rPr>
          <w:rFonts w:hint="eastAsia" w:ascii="仿宋_GB2312" w:eastAsia="仿宋_GB2312"/>
          <w:color w:val="auto"/>
          <w:sz w:val="32"/>
          <w:szCs w:val="32"/>
          <w:lang w:eastAsia="zh-CN"/>
        </w:rPr>
        <w:t>。</w:t>
      </w:r>
      <w:r>
        <w:rPr>
          <w:rFonts w:hint="eastAsia" w:ascii="仿宋_GB2312" w:eastAsia="仿宋_GB2312"/>
          <w:color w:val="auto"/>
          <w:sz w:val="32"/>
          <w:szCs w:val="32"/>
        </w:rPr>
        <w:t>项目总建筑面积</w:t>
      </w:r>
      <w:r>
        <w:rPr>
          <w:rFonts w:hint="eastAsia" w:ascii="仿宋_GB2312" w:eastAsia="仿宋_GB2312"/>
          <w:color w:val="auto"/>
          <w:sz w:val="32"/>
          <w:szCs w:val="32"/>
          <w:lang w:val="en-US" w:eastAsia="zh-CN"/>
        </w:rPr>
        <w:t>约为</w:t>
      </w:r>
      <w:r>
        <w:rPr>
          <w:rFonts w:hint="eastAsia" w:ascii="仿宋_GB2312" w:eastAsia="仿宋_GB2312"/>
          <w:color w:val="auto"/>
          <w:sz w:val="32"/>
          <w:szCs w:val="32"/>
        </w:rPr>
        <w:t>24</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730.30</w:t>
      </w:r>
      <w:r>
        <w:rPr>
          <w:rFonts w:ascii="Batang" w:hAnsi="Batang" w:eastAsia="仿宋_GB2312" w:cs="Batang"/>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val="en-US" w:eastAsia="zh-CN"/>
        </w:rPr>
        <w:t>位于</w:t>
      </w:r>
      <w:r>
        <w:rPr>
          <w:rFonts w:hint="eastAsia" w:ascii="仿宋_GB2312" w:hAnsi="仿宋_GB2312" w:eastAsia="仿宋_GB2312" w:cs="仿宋_GB2312"/>
          <w:color w:val="auto"/>
          <w:sz w:val="32"/>
          <w:szCs w:val="32"/>
        </w:rPr>
        <w:t>滨江公园智慧停车场</w:t>
      </w:r>
      <w:r>
        <w:rPr>
          <w:rFonts w:hint="eastAsia" w:ascii="仿宋_GB2312" w:hAnsi="仿宋_GB2312" w:eastAsia="仿宋_GB2312" w:cs="仿宋_GB2312"/>
          <w:color w:val="auto"/>
          <w:sz w:val="32"/>
          <w:szCs w:val="32"/>
          <w:lang w:val="en-US" w:eastAsia="zh-CN"/>
        </w:rPr>
        <w:t>11-14层办公配套商业用房</w:t>
      </w:r>
      <w:r>
        <w:rPr>
          <w:rFonts w:hint="eastAsia" w:ascii="仿宋_GB2312" w:hAnsi="仿宋_GB2312" w:eastAsia="仿宋_GB2312" w:cs="仿宋_GB2312"/>
          <w:color w:val="auto"/>
          <w:sz w:val="32"/>
          <w:szCs w:val="32"/>
        </w:rPr>
        <w:t>，出租面积</w:t>
      </w:r>
      <w:r>
        <w:rPr>
          <w:rFonts w:hint="eastAsia" w:ascii="仿宋_GB2312" w:hAnsi="仿宋_GB2312" w:eastAsia="仿宋_GB2312" w:cs="仿宋_GB2312"/>
          <w:color w:val="auto"/>
          <w:sz w:val="32"/>
          <w:szCs w:val="32"/>
          <w:lang w:val="en-US" w:eastAsia="zh-CN"/>
        </w:rPr>
        <w:t>为3888.20</w:t>
      </w:r>
      <w:r>
        <w:rPr>
          <w:rFonts w:ascii="Batang" w:hAnsi="Batang" w:eastAsia="仿宋_GB2312" w:cs="Batang"/>
          <w:color w:val="auto"/>
          <w:sz w:val="32"/>
          <w:szCs w:val="32"/>
        </w:rPr>
        <w:t>㎡</w:t>
      </w:r>
      <w:r>
        <w:rPr>
          <w:rFonts w:hint="eastAsia" w:ascii="仿宋_GB2312" w:eastAsia="仿宋_GB2312"/>
          <w:color w:val="auto"/>
          <w:sz w:val="32"/>
          <w:szCs w:val="32"/>
          <w:lang w:eastAsia="zh-CN"/>
        </w:rPr>
        <w:t>，</w:t>
      </w:r>
      <w:r>
        <w:rPr>
          <w:rFonts w:hint="eastAsia" w:ascii="Times New Roman" w:hAnsi="Times New Roman" w:eastAsia="仿宋_GB2312"/>
          <w:sz w:val="32"/>
          <w:szCs w:val="32"/>
        </w:rPr>
        <w:t>共</w:t>
      </w:r>
      <w:r>
        <w:rPr>
          <w:rFonts w:hint="eastAsia" w:ascii="Times New Roman" w:hAnsi="Times New Roman" w:eastAsia="仿宋_GB2312"/>
          <w:sz w:val="32"/>
          <w:szCs w:val="32"/>
          <w:lang w:val="en-US" w:eastAsia="zh-CN"/>
        </w:rPr>
        <w:t>两</w:t>
      </w:r>
      <w:r>
        <w:rPr>
          <w:rFonts w:hint="eastAsia" w:ascii="Times New Roman" w:hAnsi="Times New Roman" w:eastAsia="仿宋_GB2312"/>
          <w:sz w:val="32"/>
          <w:szCs w:val="32"/>
        </w:rPr>
        <w:t>层，</w:t>
      </w:r>
      <w:r>
        <w:rPr>
          <w:rFonts w:hint="eastAsia" w:ascii="Times New Roman" w:hAnsi="Times New Roman" w:eastAsia="仿宋_GB2312"/>
          <w:sz w:val="32"/>
          <w:szCs w:val="32"/>
          <w:lang w:val="en-US" w:eastAsia="zh-CN"/>
        </w:rPr>
        <w:t>共拆分为16个标的出租，</w:t>
      </w:r>
      <w:r>
        <w:rPr>
          <w:rFonts w:ascii="Times New Roman" w:hAnsi="Times New Roman" w:eastAsia="仿宋_GB2312"/>
          <w:sz w:val="32"/>
          <w:szCs w:val="32"/>
        </w:rPr>
        <w:t>每层</w:t>
      </w:r>
      <w:r>
        <w:rPr>
          <w:rFonts w:hint="eastAsia" w:ascii="Times New Roman" w:hAnsi="Times New Roman" w:eastAsia="仿宋_GB2312"/>
          <w:sz w:val="32"/>
          <w:szCs w:val="32"/>
          <w:lang w:val="en-US" w:eastAsia="zh-CN"/>
        </w:rPr>
        <w:t>拆</w:t>
      </w:r>
      <w:r>
        <w:rPr>
          <w:rFonts w:ascii="Times New Roman" w:hAnsi="Times New Roman" w:eastAsia="仿宋_GB2312"/>
          <w:sz w:val="32"/>
          <w:szCs w:val="32"/>
        </w:rPr>
        <w:t>分为4个标的</w:t>
      </w:r>
      <w:r>
        <w:rPr>
          <w:rFonts w:hint="eastAsia" w:ascii="Times New Roman" w:hAnsi="Times New Roman" w:eastAsia="仿宋_GB2312"/>
          <w:sz w:val="32"/>
          <w:szCs w:val="32"/>
          <w:lang w:eastAsia="zh-CN"/>
        </w:rPr>
        <w:t>，</w:t>
      </w:r>
      <w:r>
        <w:rPr>
          <w:rFonts w:hint="eastAsia" w:ascii="Batang" w:hAnsi="Batang" w:eastAsia="仿宋_GB2312" w:cs="Batang"/>
          <w:color w:val="auto"/>
          <w:sz w:val="32"/>
          <w:szCs w:val="32"/>
          <w:lang w:val="en-US" w:eastAsia="zh-CN"/>
        </w:rPr>
        <w:t>按现状分拆</w:t>
      </w:r>
      <w:r>
        <w:rPr>
          <w:rFonts w:hint="eastAsia" w:ascii="仿宋_GB2312" w:hAnsi="仿宋_GB2312" w:eastAsia="仿宋_GB2312" w:cs="仿宋_GB2312"/>
          <w:color w:val="auto"/>
          <w:sz w:val="32"/>
          <w:szCs w:val="32"/>
          <w:lang w:val="en-US" w:eastAsia="zh-CN"/>
        </w:rPr>
        <w:t>出租。</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下称出租标的，</w:t>
      </w:r>
      <w:r>
        <w:rPr>
          <w:rFonts w:hint="eastAsia" w:ascii="仿宋_GB2312" w:eastAsia="仿宋_GB2312"/>
          <w:color w:val="auto"/>
          <w:sz w:val="32"/>
          <w:szCs w:val="32"/>
          <w:highlight w:val="none"/>
        </w:rPr>
        <w:t>实际面积最终以政府相关部门核发的不动产权证</w:t>
      </w:r>
      <w:r>
        <w:rPr>
          <w:rFonts w:hint="eastAsia" w:ascii="仿宋_GB2312" w:eastAsia="仿宋_GB2312"/>
          <w:color w:val="auto"/>
          <w:sz w:val="32"/>
          <w:szCs w:val="32"/>
          <w:highlight w:val="none"/>
          <w:lang w:val="en-US" w:eastAsia="zh-CN"/>
        </w:rPr>
        <w:t>上</w:t>
      </w:r>
      <w:r>
        <w:rPr>
          <w:rFonts w:hint="eastAsia" w:ascii="仿宋_GB2312" w:eastAsia="仿宋_GB2312"/>
          <w:color w:val="auto"/>
          <w:sz w:val="32"/>
          <w:szCs w:val="32"/>
          <w:highlight w:val="none"/>
        </w:rPr>
        <w:t>的面积为准</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stheme="minorBidi"/>
          <w:color w:val="auto"/>
          <w:kern w:val="2"/>
          <w:sz w:val="32"/>
          <w:szCs w:val="32"/>
          <w:lang w:val="en-US" w:eastAsia="zh-CN" w:bidi="ar-SA"/>
        </w:rPr>
        <w:t>二、</w:t>
      </w:r>
      <w:r>
        <w:rPr>
          <w:rFonts w:hint="eastAsia" w:ascii="黑体" w:hAnsi="黑体" w:eastAsia="黑体"/>
          <w:color w:val="auto"/>
          <w:sz w:val="32"/>
          <w:szCs w:val="32"/>
        </w:rPr>
        <w:t>经营承租方的条件选择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（一）以</w:t>
      </w:r>
      <w:r>
        <w:rPr>
          <w:rFonts w:hint="eastAsia" w:ascii="仿宋_GB2312" w:eastAsia="仿宋_GB2312"/>
          <w:color w:val="auto"/>
          <w:sz w:val="32"/>
          <w:szCs w:val="32"/>
          <w:lang w:val="en-US" w:eastAsia="zh-CN"/>
        </w:rPr>
        <w:t>广东博邦资产土地房地产评估有限公司</w:t>
      </w:r>
      <w:r>
        <w:rPr>
          <w:rFonts w:hint="eastAsia" w:ascii="仿宋_GB2312" w:eastAsia="仿宋_GB2312"/>
          <w:color w:val="auto"/>
          <w:sz w:val="32"/>
          <w:szCs w:val="32"/>
        </w:rPr>
        <w:t>出具的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惠州交投智慧停车投资有限公司拟出租资产涉及的位于广东省惠州市惠城区惠沙堤一路9-1号滨江公园智慧停车场 </w:t>
      </w:r>
      <w:r>
        <w:rPr>
          <w:rFonts w:hint="default" w:ascii="仿宋_GB2312" w:eastAsia="仿宋_GB2312"/>
          <w:color w:val="auto"/>
          <w:sz w:val="32"/>
          <w:szCs w:val="32"/>
          <w:lang w:val="en-US" w:eastAsia="zh-CN"/>
        </w:rPr>
        <w:t xml:space="preserve">11-14 </w:t>
      </w:r>
      <w:r>
        <w:rPr>
          <w:rFonts w:hint="eastAsia" w:ascii="仿宋_GB2312" w:eastAsia="仿宋_GB2312"/>
          <w:color w:val="auto"/>
          <w:sz w:val="32"/>
          <w:szCs w:val="32"/>
          <w:lang w:val="en-US" w:eastAsia="zh-CN"/>
        </w:rPr>
        <w:t>层的房地产市场月租金价值</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博邦资评报字[2023]第 </w:t>
      </w:r>
      <w:r>
        <w:rPr>
          <w:rFonts w:hint="default" w:ascii="仿宋_GB2312" w:eastAsia="仿宋_GB2312"/>
          <w:color w:val="auto"/>
          <w:sz w:val="32"/>
          <w:szCs w:val="32"/>
          <w:lang w:val="en-US" w:eastAsia="zh-CN"/>
        </w:rPr>
        <w:t>CHR092998</w:t>
      </w:r>
      <w:r>
        <w:rPr>
          <w:rFonts w:hint="eastAsia" w:ascii="仿宋_GB2312" w:eastAsia="仿宋_GB2312"/>
          <w:color w:val="auto"/>
          <w:sz w:val="32"/>
          <w:szCs w:val="32"/>
          <w:lang w:val="en-US" w:eastAsia="zh-CN"/>
        </w:rPr>
        <w:t>号</w:t>
      </w:r>
      <w:r>
        <w:rPr>
          <w:rFonts w:hint="eastAsia" w:ascii="仿宋_GB2312" w:eastAsia="仿宋_GB2312"/>
          <w:color w:val="auto"/>
          <w:sz w:val="32"/>
          <w:szCs w:val="32"/>
          <w:lang w:eastAsia="zh-CN"/>
        </w:rPr>
        <w:t>）</w:t>
      </w:r>
      <w:r>
        <w:rPr>
          <w:rFonts w:hint="eastAsia" w:ascii="仿宋_GB2312" w:eastAsia="仿宋_GB2312"/>
          <w:color w:val="auto"/>
          <w:sz w:val="32"/>
          <w:szCs w:val="32"/>
        </w:rPr>
        <w:t>为依据，</w:t>
      </w:r>
      <w:r>
        <w:rPr>
          <w:rFonts w:hint="eastAsia" w:ascii="仿宋_GB2312" w:eastAsia="仿宋_GB2312"/>
          <w:color w:val="auto"/>
          <w:sz w:val="32"/>
          <w:szCs w:val="32"/>
          <w:lang w:val="en-US" w:eastAsia="zh-CN"/>
        </w:rPr>
        <w:t>出租标的租金如下表：</w:t>
      </w:r>
    </w:p>
    <w:p>
      <w:pPr>
        <w:pStyle w:val="2"/>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tbl>
      <w:tblPr>
        <w:tblStyle w:val="9"/>
        <w:tblW w:w="0" w:type="auto"/>
        <w:jc w:val="center"/>
        <w:tblLayout w:type="fixed"/>
        <w:tblCellMar>
          <w:top w:w="0" w:type="dxa"/>
          <w:left w:w="108" w:type="dxa"/>
          <w:bottom w:w="0" w:type="dxa"/>
          <w:right w:w="108" w:type="dxa"/>
        </w:tblCellMar>
      </w:tblPr>
      <w:tblGrid>
        <w:gridCol w:w="656"/>
        <w:gridCol w:w="2261"/>
        <w:gridCol w:w="1592"/>
        <w:gridCol w:w="1156"/>
        <w:gridCol w:w="1442"/>
        <w:gridCol w:w="1329"/>
      </w:tblGrid>
      <w:tr>
        <w:tblPrEx>
          <w:tblCellMar>
            <w:top w:w="0" w:type="dxa"/>
            <w:left w:w="108" w:type="dxa"/>
            <w:bottom w:w="0" w:type="dxa"/>
            <w:right w:w="108" w:type="dxa"/>
          </w:tblCellMar>
        </w:tblPrEx>
        <w:trPr>
          <w:trHeight w:val="49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停车场</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物业位置</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出租面积</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租金底价</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w:t>
            </w:r>
            <w:r>
              <w:rPr>
                <w:rFonts w:hint="eastAsia" w:ascii="Times New Roman" w:hAnsi="Times New Roman" w:eastAsia="仿宋_GB2312" w:cs="Times New Roman"/>
                <w:color w:val="000000"/>
                <w:kern w:val="0"/>
                <w:sz w:val="21"/>
                <w:szCs w:val="21"/>
                <w:lang w:val="en-US" w:eastAsia="zh-CN" w:bidi="ar"/>
              </w:rPr>
              <w:t>万</w:t>
            </w:r>
            <w:r>
              <w:rPr>
                <w:rFonts w:hint="default" w:ascii="Times New Roman" w:hAnsi="Times New Roman" w:eastAsia="仿宋_GB2312" w:cs="Times New Roman"/>
                <w:color w:val="000000"/>
                <w:kern w:val="0"/>
                <w:sz w:val="21"/>
                <w:szCs w:val="21"/>
                <w:lang w:bidi="ar"/>
              </w:rPr>
              <w:t>元/月）</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竞拍保证金</w:t>
            </w:r>
          </w:p>
          <w:p>
            <w:pPr>
              <w:pStyle w:val="2"/>
              <w:ind w:left="0" w:leftChars="0" w:firstLine="0" w:firstLineChars="0"/>
              <w:rPr>
                <w:rFonts w:hint="default"/>
                <w:lang w:val="en-US" w:eastAsia="zh-CN"/>
              </w:rPr>
            </w:pPr>
            <w:r>
              <w:rPr>
                <w:rFonts w:hint="eastAsia" w:ascii="Times New Roman" w:hAnsi="Times New Roman" w:eastAsia="仿宋_GB2312" w:cs="Times New Roman"/>
                <w:color w:val="000000"/>
                <w:kern w:val="0"/>
                <w:sz w:val="21"/>
                <w:szCs w:val="21"/>
                <w:lang w:val="en-US" w:eastAsia="zh-CN" w:bidi="ar"/>
              </w:rPr>
              <w:t>（万元）</w:t>
            </w:r>
          </w:p>
        </w:tc>
      </w:tr>
      <w:tr>
        <w:tblPrEx>
          <w:tblCellMar>
            <w:top w:w="0" w:type="dxa"/>
            <w:left w:w="108" w:type="dxa"/>
            <w:bottom w:w="0" w:type="dxa"/>
            <w:right w:w="108" w:type="dxa"/>
          </w:tblCellMar>
        </w:tblPrEx>
        <w:trPr>
          <w:trHeight w:val="49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1</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滨江公园智慧停车场11层</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标的1</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7522</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49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2</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7522</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49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3</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标的3</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296.64</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7713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494" w:hRule="atLeast"/>
          <w:jc w:val="center"/>
        </w:trPr>
        <w:tc>
          <w:tcPr>
            <w:tcW w:w="6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4</w:t>
            </w:r>
          </w:p>
        </w:tc>
        <w:tc>
          <w:tcPr>
            <w:tcW w:w="226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标</w:t>
            </w:r>
            <w:r>
              <w:rPr>
                <w:rFonts w:hint="default" w:ascii="Times New Roman" w:hAnsi="Times New Roman" w:eastAsia="仿宋_GB2312" w:cs="Times New Roman"/>
                <w:color w:val="000000"/>
                <w:kern w:val="0"/>
                <w:sz w:val="21"/>
                <w:szCs w:val="21"/>
                <w:lang w:bidi="ar"/>
              </w:rPr>
              <w:t>的4</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96.77</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2516</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1</w:t>
            </w:r>
          </w:p>
        </w:tc>
      </w:tr>
      <w:tr>
        <w:tblPrEx>
          <w:tblCellMar>
            <w:top w:w="0" w:type="dxa"/>
            <w:left w:w="108" w:type="dxa"/>
            <w:bottom w:w="0" w:type="dxa"/>
            <w:right w:w="108" w:type="dxa"/>
          </w:tblCellMar>
        </w:tblPrEx>
        <w:trPr>
          <w:trHeight w:val="494"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5</w:t>
            </w:r>
          </w:p>
        </w:tc>
        <w:tc>
          <w:tcPr>
            <w:tcW w:w="22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滨江公园智慧停车场12层</w:t>
            </w:r>
          </w:p>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标</w:t>
            </w:r>
            <w:r>
              <w:rPr>
                <w:rFonts w:hint="default" w:ascii="Times New Roman" w:hAnsi="Times New Roman" w:eastAsia="仿宋_GB2312" w:cs="Times New Roman"/>
                <w:color w:val="000000"/>
                <w:kern w:val="0"/>
                <w:sz w:val="21"/>
                <w:szCs w:val="21"/>
                <w:lang w:bidi="ar"/>
              </w:rPr>
              <w:t>的1</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7522</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494"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6</w:t>
            </w:r>
          </w:p>
        </w:tc>
        <w:tc>
          <w:tcPr>
            <w:tcW w:w="2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7522</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494"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7</w:t>
            </w:r>
          </w:p>
        </w:tc>
        <w:tc>
          <w:tcPr>
            <w:tcW w:w="2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标的3</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296.64</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7713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4</w:t>
            </w:r>
          </w:p>
        </w:tc>
      </w:tr>
      <w:tr>
        <w:tblPrEx>
          <w:tblCellMar>
            <w:top w:w="0" w:type="dxa"/>
            <w:left w:w="108" w:type="dxa"/>
            <w:bottom w:w="0" w:type="dxa"/>
            <w:right w:w="108" w:type="dxa"/>
          </w:tblCellMar>
        </w:tblPrEx>
        <w:trPr>
          <w:trHeight w:val="518"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kern w:val="0"/>
                <w:sz w:val="21"/>
                <w:szCs w:val="21"/>
                <w:lang w:val="en-US" w:eastAsia="zh-CN" w:bidi="ar"/>
              </w:rPr>
              <w:t>8</w:t>
            </w:r>
          </w:p>
        </w:tc>
        <w:tc>
          <w:tcPr>
            <w:tcW w:w="2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159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标的4</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96.77</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2516</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1</w:t>
            </w:r>
          </w:p>
        </w:tc>
      </w:tr>
      <w:tr>
        <w:tblPrEx>
          <w:tblCellMar>
            <w:top w:w="0" w:type="dxa"/>
            <w:left w:w="108" w:type="dxa"/>
            <w:bottom w:w="0" w:type="dxa"/>
            <w:right w:w="108" w:type="dxa"/>
          </w:tblCellMar>
        </w:tblPrEx>
        <w:trPr>
          <w:trHeight w:val="518" w:hRule="atLeast"/>
          <w:jc w:val="center"/>
        </w:trPr>
        <w:tc>
          <w:tcPr>
            <w:tcW w:w="65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9</w:t>
            </w:r>
          </w:p>
        </w:tc>
        <w:tc>
          <w:tcPr>
            <w:tcW w:w="2261"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滨江公园智慧停车场13层</w:t>
            </w:r>
          </w:p>
        </w:tc>
        <w:tc>
          <w:tcPr>
            <w:tcW w:w="15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标的1</w:t>
            </w:r>
          </w:p>
        </w:tc>
        <w:tc>
          <w:tcPr>
            <w:tcW w:w="11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7812</w:t>
            </w:r>
          </w:p>
        </w:tc>
        <w:tc>
          <w:tcPr>
            <w:tcW w:w="13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10</w:t>
            </w:r>
          </w:p>
        </w:tc>
        <w:tc>
          <w:tcPr>
            <w:tcW w:w="2261" w:type="dxa"/>
            <w:vMerge w:val="continue"/>
            <w:tcBorders>
              <w:left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7812</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11</w:t>
            </w:r>
          </w:p>
        </w:tc>
        <w:tc>
          <w:tcPr>
            <w:tcW w:w="2261" w:type="dxa"/>
            <w:vMerge w:val="continue"/>
            <w:tcBorders>
              <w:left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296.64</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8009</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12</w:t>
            </w:r>
          </w:p>
        </w:tc>
        <w:tc>
          <w:tcPr>
            <w:tcW w:w="2261" w:type="dxa"/>
            <w:vMerge w:val="continue"/>
            <w:tcBorders>
              <w:left w:val="single" w:color="000000" w:sz="4" w:space="0"/>
              <w:bottom w:val="single" w:color="auto"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96.77</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2613</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13</w:t>
            </w:r>
          </w:p>
        </w:tc>
        <w:tc>
          <w:tcPr>
            <w:tcW w:w="226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滨江公园智慧停车场14层</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7812</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14</w:t>
            </w:r>
          </w:p>
        </w:tc>
        <w:tc>
          <w:tcPr>
            <w:tcW w:w="2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289.32</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7812</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15</w:t>
            </w:r>
          </w:p>
        </w:tc>
        <w:tc>
          <w:tcPr>
            <w:tcW w:w="2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296.64</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8009</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w:t>
            </w:r>
          </w:p>
        </w:tc>
      </w:tr>
      <w:tr>
        <w:tblPrEx>
          <w:tblCellMar>
            <w:top w:w="0" w:type="dxa"/>
            <w:left w:w="108" w:type="dxa"/>
            <w:bottom w:w="0" w:type="dxa"/>
            <w:right w:w="108" w:type="dxa"/>
          </w:tblCellMar>
        </w:tblPrEx>
        <w:trPr>
          <w:trHeight w:val="5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16</w:t>
            </w:r>
          </w:p>
        </w:tc>
        <w:tc>
          <w:tcPr>
            <w:tcW w:w="2261"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标的4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bidi="ar"/>
              </w:rPr>
              <w:t>96.77</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bidi="ar"/>
              </w:rPr>
              <w:t>2613</w:t>
            </w:r>
          </w:p>
        </w:tc>
        <w:tc>
          <w:tcPr>
            <w:tcW w:w="13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w:t>
            </w:r>
          </w:p>
        </w:tc>
      </w:tr>
    </w:tbl>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FF0000"/>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）竞价人可以为中华人民共和国境内依法注册的企业法人、具有完全民事行为能力的自然人或具备合法资格的其他组织，本次招标不接受联合体报名。</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rPr>
        <w:t>）租赁期为</w:t>
      </w:r>
      <w:r>
        <w:rPr>
          <w:rFonts w:hint="eastAsia" w:ascii="仿宋_GB2312" w:eastAsia="仿宋_GB2312"/>
          <w:color w:val="auto"/>
          <w:sz w:val="32"/>
          <w:szCs w:val="32"/>
          <w:highlight w:val="none"/>
          <w:lang w:val="en-US" w:eastAsia="zh-CN"/>
        </w:rPr>
        <w:t>八</w:t>
      </w:r>
      <w:r>
        <w:rPr>
          <w:rFonts w:hint="eastAsia" w:ascii="仿宋_GB2312" w:eastAsia="仿宋_GB2312"/>
          <w:color w:val="auto"/>
          <w:sz w:val="32"/>
          <w:szCs w:val="32"/>
          <w:highlight w:val="none"/>
        </w:rPr>
        <w:t>年，租金按每隔两年递增5</w:t>
      </w:r>
      <w:r>
        <w:rPr>
          <w:rFonts w:ascii="仿宋_GB2312" w:eastAsia="仿宋_GB2312"/>
          <w:color w:val="auto"/>
          <w:sz w:val="32"/>
          <w:szCs w:val="32"/>
          <w:highlight w:val="none"/>
        </w:rPr>
        <w:t>%</w:t>
      </w:r>
      <w:r>
        <w:rPr>
          <w:rFonts w:hint="eastAsia" w:ascii="仿宋_GB2312" w:eastAsia="仿宋_GB2312"/>
          <w:color w:val="auto"/>
          <w:sz w:val="32"/>
          <w:szCs w:val="32"/>
          <w:highlight w:val="none"/>
        </w:rPr>
        <w:t>计收，即第三、五、七年分别增长5%。押付方式为押</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rPr>
        <w:t>付一。租赁设</w:t>
      </w:r>
      <w:r>
        <w:rPr>
          <w:rFonts w:hint="eastAsia" w:ascii="仿宋_GB2312" w:eastAsia="仿宋_GB2312"/>
          <w:color w:val="auto"/>
          <w:sz w:val="32"/>
          <w:szCs w:val="32"/>
          <w:highlight w:val="none"/>
          <w:lang w:val="en-US" w:eastAsia="zh-CN"/>
        </w:rPr>
        <w:t>5</w:t>
      </w:r>
      <w:bookmarkStart w:id="0" w:name="_GoBack"/>
      <w:bookmarkEnd w:id="0"/>
      <w:r>
        <w:rPr>
          <w:rFonts w:hint="eastAsia" w:ascii="仿宋_GB2312" w:eastAsia="仿宋_GB2312"/>
          <w:color w:val="auto"/>
          <w:sz w:val="32"/>
          <w:szCs w:val="32"/>
          <w:highlight w:val="none"/>
          <w:lang w:val="en-US" w:eastAsia="zh-CN"/>
        </w:rPr>
        <w:t>个月免租期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租赁期间（含免租期），需另行向物业管理公司支付物业管理费用</w:t>
      </w:r>
      <w:r>
        <w:rPr>
          <w:rFonts w:hint="eastAsia" w:ascii="仿宋_GB2312" w:eastAsia="仿宋_GB2312"/>
          <w:color w:val="auto"/>
          <w:sz w:val="32"/>
          <w:szCs w:val="32"/>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w:t>
      </w:r>
      <w:r>
        <w:rPr>
          <w:rFonts w:hint="eastAsia" w:ascii="仿宋_GB2312" w:eastAsia="仿宋_GB2312"/>
          <w:color w:val="auto"/>
          <w:sz w:val="32"/>
          <w:szCs w:val="32"/>
          <w:highlight w:val="none"/>
          <w:lang w:val="en-US" w:eastAsia="zh-CN"/>
        </w:rPr>
        <w:t>物业租赁</w:t>
      </w:r>
      <w:r>
        <w:rPr>
          <w:rFonts w:hint="eastAsia" w:ascii="仿宋_GB2312" w:eastAsia="仿宋_GB2312"/>
          <w:color w:val="auto"/>
          <w:sz w:val="32"/>
          <w:szCs w:val="32"/>
          <w:highlight w:val="none"/>
        </w:rPr>
        <w:t>合同》约定的最后计数面积以最终政府相关部门核发的证件</w:t>
      </w:r>
      <w:r>
        <w:rPr>
          <w:rFonts w:hint="eastAsia" w:ascii="仿宋_GB2312" w:eastAsia="仿宋_GB2312"/>
          <w:color w:val="auto"/>
          <w:sz w:val="32"/>
          <w:szCs w:val="32"/>
          <w:highlight w:val="none"/>
          <w:lang w:val="en-US" w:eastAsia="zh-CN"/>
        </w:rPr>
        <w:t>上</w:t>
      </w:r>
      <w:r>
        <w:rPr>
          <w:rFonts w:hint="eastAsia" w:ascii="仿宋_GB2312" w:eastAsia="仿宋_GB2312"/>
          <w:color w:val="auto"/>
          <w:sz w:val="32"/>
          <w:szCs w:val="32"/>
          <w:highlight w:val="none"/>
        </w:rPr>
        <w:t>的面积为准。</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参与竞价的企业应当缴纳保证金（人民币），该笔保证金由市公共资源交易中心代收代退。</w:t>
      </w:r>
    </w:p>
    <w:p>
      <w:pPr>
        <w:pStyle w:val="15"/>
        <w:keepNext w:val="0"/>
        <w:keepLines w:val="0"/>
        <w:pageBreakBefore w:val="0"/>
        <w:widowControl w:val="0"/>
        <w:kinsoku/>
        <w:wordWrap/>
        <w:overflowPunct/>
        <w:topLinePunct w:val="0"/>
        <w:autoSpaceDE/>
        <w:autoSpaceDN/>
        <w:bidi w:val="0"/>
        <w:adjustRightInd/>
        <w:snapToGrid/>
        <w:spacing w:line="560" w:lineRule="exact"/>
        <w:ind w:left="142" w:firstLine="496" w:firstLineChars="155"/>
        <w:jc w:val="left"/>
        <w:textAlignment w:val="auto"/>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、中标企业的确立</w:t>
      </w:r>
    </w:p>
    <w:p>
      <w:pPr>
        <w:pStyle w:val="15"/>
        <w:keepNext w:val="0"/>
        <w:keepLines w:val="0"/>
        <w:pageBreakBefore w:val="0"/>
        <w:widowControl w:val="0"/>
        <w:kinsoku/>
        <w:wordWrap/>
        <w:overflowPunct/>
        <w:topLinePunct w:val="0"/>
        <w:autoSpaceDE/>
        <w:autoSpaceDN/>
        <w:bidi w:val="0"/>
        <w:adjustRightInd/>
        <w:snapToGrid/>
        <w:spacing w:line="560" w:lineRule="exact"/>
        <w:ind w:left="6" w:firstLine="64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（一）项目竞价结束后，中标结果将在市公共资源交易中心公示3个工作日（自网上成交日起计），若公示期内无任何质疑或投诉，则</w:t>
      </w:r>
      <w:r>
        <w:rPr>
          <w:rFonts w:hint="eastAsia" w:ascii="仿宋_GB2312" w:eastAsia="仿宋_GB2312"/>
          <w:color w:val="auto"/>
          <w:sz w:val="32"/>
          <w:szCs w:val="32"/>
        </w:rPr>
        <w:t>竞</w:t>
      </w:r>
      <w:r>
        <w:rPr>
          <w:rFonts w:hint="eastAsia" w:ascii="仿宋_GB2312" w:eastAsia="仿宋_GB2312"/>
          <w:color w:val="auto"/>
          <w:sz w:val="32"/>
          <w:szCs w:val="32"/>
          <w:lang w:val="en-US" w:eastAsia="zh-CN"/>
        </w:rPr>
        <w:t>得</w:t>
      </w:r>
      <w:r>
        <w:rPr>
          <w:rFonts w:hint="eastAsia" w:ascii="仿宋_GB2312" w:eastAsia="仿宋_GB2312"/>
          <w:color w:val="auto"/>
          <w:sz w:val="32"/>
          <w:szCs w:val="32"/>
        </w:rPr>
        <w:t>人</w:t>
      </w:r>
      <w:r>
        <w:rPr>
          <w:rFonts w:hint="eastAsia" w:ascii="仿宋_GB2312" w:eastAsia="仿宋_GB2312"/>
          <w:color w:val="auto"/>
          <w:sz w:val="32"/>
          <w:szCs w:val="32"/>
          <w:lang w:val="en-US" w:eastAsia="zh-CN"/>
        </w:rPr>
        <w:t>在公示期届满后办理成交手续并与业主单位签订相关协议。</w:t>
      </w:r>
    </w:p>
    <w:p>
      <w:pPr>
        <w:pStyle w:val="15"/>
        <w:keepNext w:val="0"/>
        <w:keepLines w:val="0"/>
        <w:pageBreakBefore w:val="0"/>
        <w:widowControl w:val="0"/>
        <w:kinsoku/>
        <w:wordWrap/>
        <w:overflowPunct/>
        <w:topLinePunct w:val="0"/>
        <w:autoSpaceDE/>
        <w:autoSpaceDN/>
        <w:bidi w:val="0"/>
        <w:adjustRightInd/>
        <w:snapToGrid/>
        <w:spacing w:line="560" w:lineRule="exact"/>
        <w:ind w:left="6" w:firstLine="640"/>
        <w:jc w:val="left"/>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w:t>
      </w:r>
      <w:r>
        <w:rPr>
          <w:rFonts w:hint="eastAsia" w:ascii="仿宋_GB2312" w:eastAsia="仿宋_GB2312"/>
          <w:color w:val="auto"/>
          <w:sz w:val="32"/>
          <w:szCs w:val="32"/>
          <w:highlight w:val="none"/>
          <w:lang w:val="en-US" w:eastAsia="zh-CN"/>
        </w:rPr>
        <w:t>物业租赁</w:t>
      </w:r>
      <w:r>
        <w:rPr>
          <w:rFonts w:hint="eastAsia" w:ascii="仿宋_GB2312" w:eastAsia="仿宋_GB2312"/>
          <w:color w:val="auto"/>
          <w:sz w:val="32"/>
          <w:szCs w:val="32"/>
          <w:highlight w:val="none"/>
        </w:rPr>
        <w:t>合同</w:t>
      </w:r>
      <w:r>
        <w:rPr>
          <w:rFonts w:hint="eastAsia" w:ascii="仿宋_GB2312" w:eastAsia="仿宋_GB2312"/>
          <w:color w:val="auto"/>
          <w:sz w:val="32"/>
          <w:szCs w:val="32"/>
        </w:rPr>
        <w:t>》由业主</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提供，</w:t>
      </w:r>
      <w:r>
        <w:rPr>
          <w:rFonts w:hint="eastAsia" w:ascii="仿宋_GB2312" w:eastAsia="仿宋_GB2312"/>
          <w:color w:val="auto"/>
          <w:sz w:val="32"/>
          <w:szCs w:val="32"/>
          <w:lang w:val="en-US" w:eastAsia="zh-CN"/>
        </w:rPr>
        <w:t>竞价人</w:t>
      </w:r>
      <w:r>
        <w:rPr>
          <w:rFonts w:hint="eastAsia" w:ascii="仿宋_GB2312" w:eastAsia="仿宋_GB2312"/>
          <w:color w:val="auto"/>
          <w:sz w:val="32"/>
          <w:szCs w:val="32"/>
        </w:rPr>
        <w:t>需认真阅读、理解</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在竞得后</w:t>
      </w:r>
      <w:r>
        <w:rPr>
          <w:rFonts w:hint="eastAsia" w:ascii="仿宋_GB2312" w:eastAsia="仿宋_GB2312"/>
          <w:color w:val="auto"/>
          <w:sz w:val="32"/>
          <w:szCs w:val="32"/>
        </w:rPr>
        <w:t>必须严格按照业主</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提供的合同版本签订合同，不得反悔，否则取消竞价成交资格，且</w:t>
      </w:r>
      <w:r>
        <w:rPr>
          <w:rFonts w:hint="eastAsia" w:ascii="仿宋_GB2312" w:eastAsia="仿宋_GB2312"/>
          <w:color w:val="auto"/>
          <w:sz w:val="32"/>
          <w:szCs w:val="32"/>
          <w:lang w:val="en-US" w:eastAsia="zh-CN"/>
        </w:rPr>
        <w:t>竞价</w:t>
      </w:r>
      <w:r>
        <w:rPr>
          <w:rFonts w:hint="eastAsia" w:ascii="仿宋_GB2312" w:eastAsia="仿宋_GB2312"/>
          <w:color w:val="auto"/>
          <w:sz w:val="32"/>
          <w:szCs w:val="32"/>
        </w:rPr>
        <w:t>履约保证金不予退还。</w:t>
      </w:r>
    </w:p>
    <w:p>
      <w:pPr>
        <w:pStyle w:val="15"/>
        <w:keepNext w:val="0"/>
        <w:keepLines w:val="0"/>
        <w:pageBreakBefore w:val="0"/>
        <w:widowControl w:val="0"/>
        <w:kinsoku/>
        <w:wordWrap/>
        <w:overflowPunct/>
        <w:topLinePunct w:val="0"/>
        <w:autoSpaceDE/>
        <w:autoSpaceDN/>
        <w:bidi w:val="0"/>
        <w:adjustRightInd/>
        <w:snapToGrid/>
        <w:spacing w:line="560" w:lineRule="exact"/>
        <w:ind w:left="6" w:firstLine="640"/>
        <w:jc w:val="left"/>
        <w:textAlignment w:val="auto"/>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、管理服务</w:t>
      </w:r>
    </w:p>
    <w:p>
      <w:pPr>
        <w:keepNext w:val="0"/>
        <w:keepLines w:val="0"/>
        <w:pageBreakBefore w:val="0"/>
        <w:widowControl w:val="0"/>
        <w:kinsoku/>
        <w:wordWrap/>
        <w:overflowPunct/>
        <w:topLinePunct w:val="0"/>
        <w:autoSpaceDE/>
        <w:autoSpaceDN/>
        <w:bidi w:val="0"/>
        <w:adjustRightInd/>
        <w:snapToGrid/>
        <w:spacing w:line="560" w:lineRule="exact"/>
        <w:ind w:right="0" w:firstLine="608" w:firstLineChars="19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为</w:t>
      </w:r>
      <w:r>
        <w:rPr>
          <w:rFonts w:hint="eastAsia" w:ascii="仿宋_GB2312" w:eastAsia="仿宋_GB2312"/>
          <w:color w:val="auto"/>
          <w:sz w:val="32"/>
          <w:szCs w:val="32"/>
        </w:rPr>
        <w:t>确保停车场整体经营正常</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承租方需与物业管理公司另行签订物业管理协议，向物业管理公司支付物业管理费用（不包含在报价内）；</w:t>
      </w:r>
      <w:r>
        <w:rPr>
          <w:rFonts w:hint="eastAsia" w:ascii="仿宋_GB2312" w:eastAsia="仿宋_GB2312"/>
          <w:color w:val="auto"/>
          <w:sz w:val="32"/>
          <w:szCs w:val="32"/>
        </w:rPr>
        <w:t>物业管理费前二年为4元/平方米</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含免租期</w:t>
      </w:r>
      <w:r>
        <w:rPr>
          <w:rFonts w:hint="eastAsia" w:ascii="仿宋_GB2312" w:eastAsia="仿宋_GB2312"/>
          <w:color w:val="auto"/>
          <w:sz w:val="32"/>
          <w:szCs w:val="32"/>
          <w:lang w:eastAsia="zh-CN"/>
        </w:rPr>
        <w:t>）</w:t>
      </w:r>
      <w:r>
        <w:rPr>
          <w:rFonts w:hint="eastAsia" w:ascii="仿宋_GB2312" w:eastAsia="仿宋_GB2312"/>
          <w:color w:val="auto"/>
          <w:sz w:val="32"/>
          <w:szCs w:val="32"/>
        </w:rPr>
        <w:t>，后续物业管理费用由承租方与物业管理公司协商，另行核算。</w:t>
      </w: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eastAsia="仿宋_GB2312"/>
          <w:color w:val="auto"/>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firstLine="608" w:firstLineChars="190"/>
        <w:jc w:val="righ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惠州交投智慧停车投资有限公司</w:t>
      </w:r>
    </w:p>
    <w:p>
      <w:pPr>
        <w:keepNext w:val="0"/>
        <w:keepLines w:val="0"/>
        <w:pageBreakBefore w:val="0"/>
        <w:widowControl w:val="0"/>
        <w:kinsoku/>
        <w:wordWrap/>
        <w:overflowPunct/>
        <w:topLinePunct w:val="0"/>
        <w:autoSpaceDE/>
        <w:autoSpaceDN/>
        <w:bidi w:val="0"/>
        <w:adjustRightInd/>
        <w:snapToGrid/>
        <w:spacing w:line="560" w:lineRule="exact"/>
        <w:ind w:right="0" w:firstLine="608" w:firstLineChars="190"/>
        <w:jc w:val="righ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宋体 Heavy">
    <w:altName w:val="宋体"/>
    <w:panose1 w:val="02020900000000000000"/>
    <w:charset w:val="86"/>
    <w:family w:val="roman"/>
    <w:pitch w:val="default"/>
    <w:sig w:usb0="00000000" w:usb1="00000000" w:usb2="00000016" w:usb3="00000000" w:csb0="602E0107" w:csb1="00000000"/>
  </w:font>
  <w:font w:name="Batang">
    <w:altName w:val="Malgun Gothic"/>
    <w:panose1 w:val="02030600000101010101"/>
    <w:charset w:val="81"/>
    <w:family w:val="auto"/>
    <w:pitch w:val="default"/>
    <w:sig w:usb0="00000000" w:usb1="0000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ZTJiNGVlNzYxYTM2NzMzMmRiMjlkNGI1OGNlZTMifQ=="/>
  </w:docVars>
  <w:rsids>
    <w:rsidRoot w:val="003D410F"/>
    <w:rsid w:val="00000268"/>
    <w:rsid w:val="00001246"/>
    <w:rsid w:val="000027C1"/>
    <w:rsid w:val="00022186"/>
    <w:rsid w:val="00023AB8"/>
    <w:rsid w:val="000275E9"/>
    <w:rsid w:val="0005474E"/>
    <w:rsid w:val="00062A92"/>
    <w:rsid w:val="000634B4"/>
    <w:rsid w:val="000A7A8C"/>
    <w:rsid w:val="000D0F97"/>
    <w:rsid w:val="000E0C05"/>
    <w:rsid w:val="000E7B31"/>
    <w:rsid w:val="000F792F"/>
    <w:rsid w:val="000F79E8"/>
    <w:rsid w:val="0010781E"/>
    <w:rsid w:val="00125BE2"/>
    <w:rsid w:val="00127768"/>
    <w:rsid w:val="001408D8"/>
    <w:rsid w:val="001463D7"/>
    <w:rsid w:val="001469E0"/>
    <w:rsid w:val="00152EC1"/>
    <w:rsid w:val="00187218"/>
    <w:rsid w:val="00187E31"/>
    <w:rsid w:val="00192DAD"/>
    <w:rsid w:val="001C2145"/>
    <w:rsid w:val="001D2DE8"/>
    <w:rsid w:val="0020632A"/>
    <w:rsid w:val="00250F3B"/>
    <w:rsid w:val="002556D1"/>
    <w:rsid w:val="0027063B"/>
    <w:rsid w:val="00272355"/>
    <w:rsid w:val="002E3840"/>
    <w:rsid w:val="002E7A74"/>
    <w:rsid w:val="0030029C"/>
    <w:rsid w:val="0033424C"/>
    <w:rsid w:val="00341FEC"/>
    <w:rsid w:val="003460C3"/>
    <w:rsid w:val="00363900"/>
    <w:rsid w:val="00363AB4"/>
    <w:rsid w:val="003753D5"/>
    <w:rsid w:val="003967FC"/>
    <w:rsid w:val="003B5100"/>
    <w:rsid w:val="003B7C52"/>
    <w:rsid w:val="003C2383"/>
    <w:rsid w:val="003D410F"/>
    <w:rsid w:val="003E49F7"/>
    <w:rsid w:val="003E77E9"/>
    <w:rsid w:val="00401100"/>
    <w:rsid w:val="00410AF4"/>
    <w:rsid w:val="00425D78"/>
    <w:rsid w:val="00434B49"/>
    <w:rsid w:val="00457A72"/>
    <w:rsid w:val="0047010A"/>
    <w:rsid w:val="00476119"/>
    <w:rsid w:val="00484287"/>
    <w:rsid w:val="004B1B4A"/>
    <w:rsid w:val="004C3F18"/>
    <w:rsid w:val="004E42F0"/>
    <w:rsid w:val="004F0254"/>
    <w:rsid w:val="004F1182"/>
    <w:rsid w:val="00512675"/>
    <w:rsid w:val="00513DC7"/>
    <w:rsid w:val="005167DB"/>
    <w:rsid w:val="005233F4"/>
    <w:rsid w:val="00532D24"/>
    <w:rsid w:val="00547500"/>
    <w:rsid w:val="00550E75"/>
    <w:rsid w:val="005539A0"/>
    <w:rsid w:val="00586EF3"/>
    <w:rsid w:val="005A010A"/>
    <w:rsid w:val="005A1202"/>
    <w:rsid w:val="005A20AD"/>
    <w:rsid w:val="005D5267"/>
    <w:rsid w:val="005E786A"/>
    <w:rsid w:val="005F7D12"/>
    <w:rsid w:val="00605C46"/>
    <w:rsid w:val="0061103C"/>
    <w:rsid w:val="006221EF"/>
    <w:rsid w:val="00646EC3"/>
    <w:rsid w:val="00672CC9"/>
    <w:rsid w:val="0068028F"/>
    <w:rsid w:val="00694E1C"/>
    <w:rsid w:val="006A7992"/>
    <w:rsid w:val="006F24F1"/>
    <w:rsid w:val="00700F3D"/>
    <w:rsid w:val="00703DAF"/>
    <w:rsid w:val="0072024F"/>
    <w:rsid w:val="00723836"/>
    <w:rsid w:val="00730A5A"/>
    <w:rsid w:val="00736E1F"/>
    <w:rsid w:val="0073767F"/>
    <w:rsid w:val="00776827"/>
    <w:rsid w:val="00792F83"/>
    <w:rsid w:val="007B4F51"/>
    <w:rsid w:val="007C3F5E"/>
    <w:rsid w:val="007E0E05"/>
    <w:rsid w:val="0080516B"/>
    <w:rsid w:val="008347CC"/>
    <w:rsid w:val="00846965"/>
    <w:rsid w:val="00853B9B"/>
    <w:rsid w:val="00855330"/>
    <w:rsid w:val="00861125"/>
    <w:rsid w:val="00892160"/>
    <w:rsid w:val="008B0C22"/>
    <w:rsid w:val="008F20BA"/>
    <w:rsid w:val="00925234"/>
    <w:rsid w:val="009811B4"/>
    <w:rsid w:val="00982F9A"/>
    <w:rsid w:val="00994C51"/>
    <w:rsid w:val="009957D1"/>
    <w:rsid w:val="0099622B"/>
    <w:rsid w:val="00997844"/>
    <w:rsid w:val="009D1D00"/>
    <w:rsid w:val="009D5675"/>
    <w:rsid w:val="009E0DCF"/>
    <w:rsid w:val="00A01459"/>
    <w:rsid w:val="00A175C8"/>
    <w:rsid w:val="00A31ECA"/>
    <w:rsid w:val="00A450D9"/>
    <w:rsid w:val="00A45397"/>
    <w:rsid w:val="00A822C2"/>
    <w:rsid w:val="00AD2021"/>
    <w:rsid w:val="00AD2DB4"/>
    <w:rsid w:val="00B1292E"/>
    <w:rsid w:val="00B328B8"/>
    <w:rsid w:val="00B32F2B"/>
    <w:rsid w:val="00B43F8B"/>
    <w:rsid w:val="00B627F2"/>
    <w:rsid w:val="00B728B5"/>
    <w:rsid w:val="00BA19AF"/>
    <w:rsid w:val="00BF6CF4"/>
    <w:rsid w:val="00C05156"/>
    <w:rsid w:val="00C16DE1"/>
    <w:rsid w:val="00C2506C"/>
    <w:rsid w:val="00C31396"/>
    <w:rsid w:val="00C3409E"/>
    <w:rsid w:val="00C377D1"/>
    <w:rsid w:val="00C4722B"/>
    <w:rsid w:val="00C5722A"/>
    <w:rsid w:val="00C628AB"/>
    <w:rsid w:val="00C81513"/>
    <w:rsid w:val="00CA057C"/>
    <w:rsid w:val="00CA4580"/>
    <w:rsid w:val="00CB49C6"/>
    <w:rsid w:val="00CB6656"/>
    <w:rsid w:val="00CE08FE"/>
    <w:rsid w:val="00CF3FDD"/>
    <w:rsid w:val="00CF7EAA"/>
    <w:rsid w:val="00D0239D"/>
    <w:rsid w:val="00D05EFF"/>
    <w:rsid w:val="00D1056B"/>
    <w:rsid w:val="00D11885"/>
    <w:rsid w:val="00D16573"/>
    <w:rsid w:val="00D166A5"/>
    <w:rsid w:val="00D173E6"/>
    <w:rsid w:val="00D23C73"/>
    <w:rsid w:val="00D2778B"/>
    <w:rsid w:val="00D37BE2"/>
    <w:rsid w:val="00D37C50"/>
    <w:rsid w:val="00D620D8"/>
    <w:rsid w:val="00D6380B"/>
    <w:rsid w:val="00D80A11"/>
    <w:rsid w:val="00D94E53"/>
    <w:rsid w:val="00DA2A64"/>
    <w:rsid w:val="00DC46E2"/>
    <w:rsid w:val="00DE26C2"/>
    <w:rsid w:val="00DE6FD8"/>
    <w:rsid w:val="00DF2456"/>
    <w:rsid w:val="00E1319B"/>
    <w:rsid w:val="00E204AB"/>
    <w:rsid w:val="00E22C13"/>
    <w:rsid w:val="00E3155B"/>
    <w:rsid w:val="00E33580"/>
    <w:rsid w:val="00E4049A"/>
    <w:rsid w:val="00E4327D"/>
    <w:rsid w:val="00E50996"/>
    <w:rsid w:val="00E60294"/>
    <w:rsid w:val="00E753EE"/>
    <w:rsid w:val="00E83558"/>
    <w:rsid w:val="00E90583"/>
    <w:rsid w:val="00E96D08"/>
    <w:rsid w:val="00E974C4"/>
    <w:rsid w:val="00ED042E"/>
    <w:rsid w:val="00ED172D"/>
    <w:rsid w:val="00ED30A8"/>
    <w:rsid w:val="00EE6FE7"/>
    <w:rsid w:val="00F21B10"/>
    <w:rsid w:val="00F54A57"/>
    <w:rsid w:val="00F65C1A"/>
    <w:rsid w:val="00F661E5"/>
    <w:rsid w:val="00F96DFB"/>
    <w:rsid w:val="00FA0EC9"/>
    <w:rsid w:val="00FF40D4"/>
    <w:rsid w:val="010949BE"/>
    <w:rsid w:val="01BF567E"/>
    <w:rsid w:val="02256D96"/>
    <w:rsid w:val="02FD2AAE"/>
    <w:rsid w:val="048B3E34"/>
    <w:rsid w:val="04A70542"/>
    <w:rsid w:val="05257D5A"/>
    <w:rsid w:val="05300538"/>
    <w:rsid w:val="056A3A4A"/>
    <w:rsid w:val="05E824CF"/>
    <w:rsid w:val="05F158C5"/>
    <w:rsid w:val="0616772D"/>
    <w:rsid w:val="06293905"/>
    <w:rsid w:val="063A2913"/>
    <w:rsid w:val="063D1FED"/>
    <w:rsid w:val="083E4B72"/>
    <w:rsid w:val="08C96478"/>
    <w:rsid w:val="08F44113"/>
    <w:rsid w:val="093972BD"/>
    <w:rsid w:val="094247AF"/>
    <w:rsid w:val="09BF46B3"/>
    <w:rsid w:val="0A9B464C"/>
    <w:rsid w:val="0A9D0423"/>
    <w:rsid w:val="0AEC6C48"/>
    <w:rsid w:val="0B191956"/>
    <w:rsid w:val="0B5D1B54"/>
    <w:rsid w:val="0CBB22BF"/>
    <w:rsid w:val="0E624E37"/>
    <w:rsid w:val="0F694D72"/>
    <w:rsid w:val="0F706100"/>
    <w:rsid w:val="0FF07241"/>
    <w:rsid w:val="10F7015B"/>
    <w:rsid w:val="11293459"/>
    <w:rsid w:val="115455AE"/>
    <w:rsid w:val="116C602F"/>
    <w:rsid w:val="11A025A1"/>
    <w:rsid w:val="11B83977"/>
    <w:rsid w:val="11CA4756"/>
    <w:rsid w:val="12696E37"/>
    <w:rsid w:val="127A53FE"/>
    <w:rsid w:val="127B6BB6"/>
    <w:rsid w:val="13950A02"/>
    <w:rsid w:val="139D148E"/>
    <w:rsid w:val="140168A3"/>
    <w:rsid w:val="14263231"/>
    <w:rsid w:val="148A24B2"/>
    <w:rsid w:val="15051FF9"/>
    <w:rsid w:val="15641ADA"/>
    <w:rsid w:val="15925680"/>
    <w:rsid w:val="175E0F34"/>
    <w:rsid w:val="176420EA"/>
    <w:rsid w:val="17EA3C11"/>
    <w:rsid w:val="18F225D7"/>
    <w:rsid w:val="18F27B86"/>
    <w:rsid w:val="19146985"/>
    <w:rsid w:val="1ADC6D40"/>
    <w:rsid w:val="1ADE21A6"/>
    <w:rsid w:val="1CB810E7"/>
    <w:rsid w:val="1CE240CE"/>
    <w:rsid w:val="1D992F96"/>
    <w:rsid w:val="1E0908B0"/>
    <w:rsid w:val="1E37603B"/>
    <w:rsid w:val="1EA805D1"/>
    <w:rsid w:val="1F5317CD"/>
    <w:rsid w:val="1F6C358A"/>
    <w:rsid w:val="1FC46B13"/>
    <w:rsid w:val="1FC57DA2"/>
    <w:rsid w:val="20106F09"/>
    <w:rsid w:val="2059498F"/>
    <w:rsid w:val="20EC7106"/>
    <w:rsid w:val="2158623E"/>
    <w:rsid w:val="21911D6C"/>
    <w:rsid w:val="21A155DF"/>
    <w:rsid w:val="21D818E3"/>
    <w:rsid w:val="222A36CF"/>
    <w:rsid w:val="22A719E1"/>
    <w:rsid w:val="22C2597A"/>
    <w:rsid w:val="22D769A8"/>
    <w:rsid w:val="22E20C6B"/>
    <w:rsid w:val="22F64717"/>
    <w:rsid w:val="230D71A9"/>
    <w:rsid w:val="24D2083C"/>
    <w:rsid w:val="25072C0B"/>
    <w:rsid w:val="25B021DF"/>
    <w:rsid w:val="25D03AB2"/>
    <w:rsid w:val="26795044"/>
    <w:rsid w:val="26955FF5"/>
    <w:rsid w:val="269B29F3"/>
    <w:rsid w:val="26AA7CF2"/>
    <w:rsid w:val="271B299E"/>
    <w:rsid w:val="27374F26"/>
    <w:rsid w:val="273E1C57"/>
    <w:rsid w:val="27D35888"/>
    <w:rsid w:val="284D6B87"/>
    <w:rsid w:val="291F2087"/>
    <w:rsid w:val="292E096E"/>
    <w:rsid w:val="29534E20"/>
    <w:rsid w:val="29620AE0"/>
    <w:rsid w:val="2ACB546D"/>
    <w:rsid w:val="2CC17B44"/>
    <w:rsid w:val="2CED0939"/>
    <w:rsid w:val="2D8123BB"/>
    <w:rsid w:val="2D834E68"/>
    <w:rsid w:val="2EBA0449"/>
    <w:rsid w:val="2EEF5255"/>
    <w:rsid w:val="2EF74498"/>
    <w:rsid w:val="2F0401BB"/>
    <w:rsid w:val="2F1A3775"/>
    <w:rsid w:val="2F544C9F"/>
    <w:rsid w:val="2FFD133B"/>
    <w:rsid w:val="301601A6"/>
    <w:rsid w:val="308254BD"/>
    <w:rsid w:val="30DD6163"/>
    <w:rsid w:val="321C75CA"/>
    <w:rsid w:val="32261A1F"/>
    <w:rsid w:val="3227669B"/>
    <w:rsid w:val="326D5ED4"/>
    <w:rsid w:val="328F6258"/>
    <w:rsid w:val="33292DD8"/>
    <w:rsid w:val="33631233"/>
    <w:rsid w:val="340D6D70"/>
    <w:rsid w:val="342E1F62"/>
    <w:rsid w:val="34FD36E3"/>
    <w:rsid w:val="35313298"/>
    <w:rsid w:val="35335357"/>
    <w:rsid w:val="367B6FB5"/>
    <w:rsid w:val="376C212C"/>
    <w:rsid w:val="38157476"/>
    <w:rsid w:val="38DE382B"/>
    <w:rsid w:val="38F94373"/>
    <w:rsid w:val="39217509"/>
    <w:rsid w:val="39553BC7"/>
    <w:rsid w:val="3B3E6803"/>
    <w:rsid w:val="3BB84807"/>
    <w:rsid w:val="3C16001D"/>
    <w:rsid w:val="3C881D3E"/>
    <w:rsid w:val="3E05363C"/>
    <w:rsid w:val="3E181880"/>
    <w:rsid w:val="3E3F6B1A"/>
    <w:rsid w:val="3F3E2F5C"/>
    <w:rsid w:val="3F4E170B"/>
    <w:rsid w:val="40676C57"/>
    <w:rsid w:val="408D1DBF"/>
    <w:rsid w:val="414D1377"/>
    <w:rsid w:val="41601281"/>
    <w:rsid w:val="41CD48B7"/>
    <w:rsid w:val="42F41036"/>
    <w:rsid w:val="44056110"/>
    <w:rsid w:val="446A2417"/>
    <w:rsid w:val="44CD1324"/>
    <w:rsid w:val="44ED2AA3"/>
    <w:rsid w:val="44FA6E86"/>
    <w:rsid w:val="45B23F20"/>
    <w:rsid w:val="46957604"/>
    <w:rsid w:val="471B34D2"/>
    <w:rsid w:val="47FB3D2B"/>
    <w:rsid w:val="48743864"/>
    <w:rsid w:val="48AC56FF"/>
    <w:rsid w:val="498B355B"/>
    <w:rsid w:val="49A617CC"/>
    <w:rsid w:val="4AC26D4A"/>
    <w:rsid w:val="4AC473FF"/>
    <w:rsid w:val="4AD96360"/>
    <w:rsid w:val="4B1650A7"/>
    <w:rsid w:val="4C9768B3"/>
    <w:rsid w:val="4CE31441"/>
    <w:rsid w:val="4D1F46E6"/>
    <w:rsid w:val="4E65437B"/>
    <w:rsid w:val="4E7A5F48"/>
    <w:rsid w:val="4F392CFE"/>
    <w:rsid w:val="4F61144B"/>
    <w:rsid w:val="500623A4"/>
    <w:rsid w:val="507342D1"/>
    <w:rsid w:val="50E517A3"/>
    <w:rsid w:val="51BC0756"/>
    <w:rsid w:val="51CE7E34"/>
    <w:rsid w:val="522B768A"/>
    <w:rsid w:val="53034162"/>
    <w:rsid w:val="530F29E3"/>
    <w:rsid w:val="537C197B"/>
    <w:rsid w:val="53BB4683"/>
    <w:rsid w:val="53C9715A"/>
    <w:rsid w:val="53CB1124"/>
    <w:rsid w:val="53E130C1"/>
    <w:rsid w:val="541D1220"/>
    <w:rsid w:val="54C142D5"/>
    <w:rsid w:val="55061B79"/>
    <w:rsid w:val="55CD7A19"/>
    <w:rsid w:val="56350AD7"/>
    <w:rsid w:val="57821597"/>
    <w:rsid w:val="578F15EC"/>
    <w:rsid w:val="57DA6CE9"/>
    <w:rsid w:val="58444EB0"/>
    <w:rsid w:val="591E0D26"/>
    <w:rsid w:val="59914345"/>
    <w:rsid w:val="59B80052"/>
    <w:rsid w:val="59BF3458"/>
    <w:rsid w:val="5B1B0D70"/>
    <w:rsid w:val="5B4517BC"/>
    <w:rsid w:val="5CB5471F"/>
    <w:rsid w:val="5CDD4725"/>
    <w:rsid w:val="5CE2128D"/>
    <w:rsid w:val="5E106E1B"/>
    <w:rsid w:val="5EA20CD3"/>
    <w:rsid w:val="5F126A16"/>
    <w:rsid w:val="5F463D55"/>
    <w:rsid w:val="60296A5F"/>
    <w:rsid w:val="60AE1BB1"/>
    <w:rsid w:val="60E92BEA"/>
    <w:rsid w:val="61CB0541"/>
    <w:rsid w:val="61F3609B"/>
    <w:rsid w:val="626C3AD2"/>
    <w:rsid w:val="62886432"/>
    <w:rsid w:val="62D520C6"/>
    <w:rsid w:val="63CC339B"/>
    <w:rsid w:val="643165DE"/>
    <w:rsid w:val="64AA2690"/>
    <w:rsid w:val="64C30311"/>
    <w:rsid w:val="6535429E"/>
    <w:rsid w:val="67720CB7"/>
    <w:rsid w:val="69B452BE"/>
    <w:rsid w:val="69E71C90"/>
    <w:rsid w:val="6B1E5B86"/>
    <w:rsid w:val="6BE65222"/>
    <w:rsid w:val="6C5D623A"/>
    <w:rsid w:val="6CC543CB"/>
    <w:rsid w:val="6DB30807"/>
    <w:rsid w:val="6DB620A5"/>
    <w:rsid w:val="6DEA5BC0"/>
    <w:rsid w:val="6E7822D1"/>
    <w:rsid w:val="70A60C30"/>
    <w:rsid w:val="70C70889"/>
    <w:rsid w:val="71E520A7"/>
    <w:rsid w:val="71E82D31"/>
    <w:rsid w:val="730A7A7E"/>
    <w:rsid w:val="73267CCD"/>
    <w:rsid w:val="73C65203"/>
    <w:rsid w:val="74E71186"/>
    <w:rsid w:val="759C08A9"/>
    <w:rsid w:val="75CF63FA"/>
    <w:rsid w:val="777B405B"/>
    <w:rsid w:val="798E0DE2"/>
    <w:rsid w:val="79F801C6"/>
    <w:rsid w:val="7A41363F"/>
    <w:rsid w:val="7B2D0ADB"/>
    <w:rsid w:val="7B4E49E1"/>
    <w:rsid w:val="7C3A20F4"/>
    <w:rsid w:val="7CD352A0"/>
    <w:rsid w:val="7CD458FE"/>
    <w:rsid w:val="7CEF27C9"/>
    <w:rsid w:val="7D1B3CD3"/>
    <w:rsid w:val="7D81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Block Text"/>
    <w:basedOn w:val="1"/>
    <w:unhideWhenUsed/>
    <w:qFormat/>
    <w:uiPriority w:val="99"/>
    <w:pPr>
      <w:spacing w:after="120"/>
      <w:ind w:left="1440" w:leftChars="700" w:right="1440" w:rightChars="7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font1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9CED-9DBC-4814-9C49-3C47DCE532D1}">
  <ds:schemaRefs/>
</ds:datastoreItem>
</file>

<file path=docProps/app.xml><?xml version="1.0" encoding="utf-8"?>
<Properties xmlns="http://schemas.openxmlformats.org/officeDocument/2006/extended-properties" xmlns:vt="http://schemas.openxmlformats.org/officeDocument/2006/docPropsVTypes">
  <Template>Normal</Template>
  <Company>惠州市皓悦科技有限公司</Company>
  <Pages>3</Pages>
  <Words>974</Words>
  <Characters>1017</Characters>
  <Lines>15</Lines>
  <Paragraphs>4</Paragraphs>
  <TotalTime>15</TotalTime>
  <ScaleCrop>false</ScaleCrop>
  <LinksUpToDate>false</LinksUpToDate>
  <CharactersWithSpaces>1025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2021-05-26T01:18:00Z</dcterms:created>
  <dc:creator>经营管理部 聂汉生</dc:creator>
  <cp:lastModifiedBy>黄业友</cp:lastModifiedBy>
  <cp:lastPrinted>2022-09-27T09:24:00Z</cp:lastPrinted>
  <dcterms:modified xsi:type="dcterms:W3CDTF">2023-12-05T03:33:48Z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7639557F4F2B4E5B91A1A4B8505C5FAB</vt:lpwstr>
  </property>
</Properties>
</file>