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房屋租赁交易情况说明</w:t>
      </w:r>
    </w:p>
    <w:bookmarkEnd w:id="0"/>
    <w:p>
      <w:pPr>
        <w:rPr>
          <w:rFonts w:hint="eastAsia" w:ascii="仿宋" w:hAnsi="仿宋" w:eastAsia="仿宋" w:cs="仿宋"/>
          <w:b/>
          <w:bCs/>
          <w:sz w:val="32"/>
          <w:szCs w:val="32"/>
        </w:rPr>
      </w:pPr>
      <w:r>
        <w:rPr>
          <w:rFonts w:hint="eastAsia" w:ascii="仿宋" w:hAnsi="仿宋" w:eastAsia="仿宋" w:cs="仿宋"/>
          <w:b/>
          <w:bCs/>
          <w:sz w:val="32"/>
          <w:szCs w:val="32"/>
        </w:rPr>
        <w:t>一、交易标的内容</w:t>
      </w:r>
    </w:p>
    <w:p>
      <w:pPr>
        <w:rPr>
          <w:rFonts w:hint="eastAsia" w:ascii="仿宋" w:hAnsi="仿宋" w:eastAsia="仿宋" w:cs="仿宋"/>
          <w:b/>
          <w:bCs/>
          <w:sz w:val="32"/>
          <w:szCs w:val="32"/>
        </w:rPr>
      </w:pPr>
      <w:r>
        <w:rPr>
          <w:rFonts w:hint="eastAsia" w:ascii="仿宋" w:hAnsi="仿宋" w:eastAsia="仿宋" w:cs="仿宋"/>
          <w:b/>
          <w:bCs/>
          <w:sz w:val="32"/>
          <w:szCs w:val="32"/>
        </w:rPr>
        <w:t>（一）标的名称：惠州市惠城区惠博大道388号奥林匹克花园一期北区高层BT5栋一层1号商铺、 BT5栋一层8号商铺、  BT5栋一层10号商铺、BT5栋一层11号商铺资产租赁</w:t>
      </w:r>
    </w:p>
    <w:p>
      <w:pPr>
        <w:rPr>
          <w:rFonts w:hint="eastAsia" w:ascii="仿宋" w:hAnsi="仿宋" w:eastAsia="仿宋" w:cs="仿宋"/>
          <w:b/>
          <w:bCs/>
          <w:sz w:val="32"/>
          <w:szCs w:val="32"/>
        </w:rPr>
      </w:pPr>
      <w:r>
        <w:rPr>
          <w:rFonts w:hint="eastAsia" w:ascii="仿宋" w:hAnsi="仿宋" w:eastAsia="仿宋" w:cs="仿宋"/>
          <w:b/>
          <w:bCs/>
          <w:sz w:val="32"/>
          <w:szCs w:val="32"/>
        </w:rPr>
        <w:t>（二）标的位置：惠州市惠城区惠博大道388号奥林匹克花园一期北区高层BT5栋</w:t>
      </w:r>
    </w:p>
    <w:p>
      <w:pPr>
        <w:rPr>
          <w:rFonts w:hint="eastAsia" w:ascii="仿宋" w:hAnsi="仿宋" w:eastAsia="仿宋" w:cs="仿宋"/>
          <w:b/>
          <w:bCs/>
          <w:sz w:val="32"/>
          <w:szCs w:val="32"/>
        </w:rPr>
      </w:pPr>
      <w:r>
        <w:rPr>
          <w:rFonts w:hint="eastAsia" w:ascii="仿宋" w:hAnsi="仿宋" w:eastAsia="仿宋" w:cs="仿宋"/>
          <w:b/>
          <w:bCs/>
          <w:sz w:val="32"/>
          <w:szCs w:val="32"/>
        </w:rPr>
        <w:t>（三）标的内容：</w:t>
      </w:r>
    </w:p>
    <w:tbl>
      <w:tblPr>
        <w:tblStyle w:val="5"/>
        <w:tblW w:w="8017"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713"/>
        <w:gridCol w:w="1359"/>
        <w:gridCol w:w="1337"/>
        <w:gridCol w:w="1601"/>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21" w:type="dxa"/>
            <w:noWrap w:val="0"/>
            <w:vAlign w:val="center"/>
          </w:tcPr>
          <w:p>
            <w:pPr>
              <w:pStyle w:val="3"/>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1713" w:type="dxa"/>
            <w:noWrap w:val="0"/>
            <w:vAlign w:val="center"/>
          </w:tcPr>
          <w:p>
            <w:pPr>
              <w:pStyle w:val="3"/>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标的名称</w:t>
            </w:r>
          </w:p>
        </w:tc>
        <w:tc>
          <w:tcPr>
            <w:tcW w:w="1359" w:type="dxa"/>
            <w:noWrap w:val="0"/>
            <w:vAlign w:val="center"/>
          </w:tcPr>
          <w:p>
            <w:pPr>
              <w:pStyle w:val="3"/>
              <w:keepNext w:val="0"/>
              <w:keepLines w:val="0"/>
              <w:widowControl/>
              <w:suppressLineNumbers w:val="0"/>
              <w:wordWrap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建筑面积（㎡）</w:t>
            </w:r>
          </w:p>
        </w:tc>
        <w:tc>
          <w:tcPr>
            <w:tcW w:w="1337" w:type="dxa"/>
            <w:noWrap w:val="0"/>
            <w:vAlign w:val="center"/>
          </w:tcPr>
          <w:p>
            <w:pPr>
              <w:pStyle w:val="3"/>
              <w:keepNext w:val="0"/>
              <w:keepLines w:val="0"/>
              <w:widowControl/>
              <w:suppressLineNumbers w:val="0"/>
              <w:wordWrap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标的现状</w:t>
            </w:r>
          </w:p>
        </w:tc>
        <w:tc>
          <w:tcPr>
            <w:tcW w:w="1601" w:type="dxa"/>
            <w:noWrap w:val="0"/>
            <w:vAlign w:val="center"/>
          </w:tcPr>
          <w:p>
            <w:pPr>
              <w:pStyle w:val="3"/>
              <w:keepNext w:val="0"/>
              <w:keepLines w:val="0"/>
              <w:widowControl/>
              <w:suppressLineNumbers w:val="0"/>
              <w:wordWrap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竞拍租金底价（</w:t>
            </w:r>
            <w:r>
              <w:rPr>
                <w:rFonts w:hint="eastAsia" w:ascii="宋体" w:hAnsi="宋体" w:cs="宋体"/>
                <w:kern w:val="2"/>
                <w:sz w:val="21"/>
                <w:szCs w:val="21"/>
                <w:lang w:val="en-US" w:eastAsia="zh-CN" w:bidi="ar-SA"/>
              </w:rPr>
              <w:t>万</w:t>
            </w:r>
            <w:r>
              <w:rPr>
                <w:rFonts w:hint="eastAsia" w:ascii="宋体" w:hAnsi="宋体" w:eastAsia="宋体" w:cs="宋体"/>
                <w:kern w:val="2"/>
                <w:sz w:val="21"/>
                <w:szCs w:val="21"/>
                <w:lang w:val="en-US" w:eastAsia="zh-CN" w:bidi="ar-SA"/>
              </w:rPr>
              <w:t>元/月）</w:t>
            </w:r>
          </w:p>
        </w:tc>
        <w:tc>
          <w:tcPr>
            <w:tcW w:w="1386" w:type="dxa"/>
            <w:noWrap w:val="0"/>
            <w:vAlign w:val="center"/>
          </w:tcPr>
          <w:p>
            <w:pPr>
              <w:pStyle w:val="3"/>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竞价</w:t>
            </w:r>
            <w:r>
              <w:rPr>
                <w:rFonts w:hint="eastAsia" w:ascii="宋体" w:hAnsi="宋体" w:eastAsia="宋体" w:cs="宋体"/>
                <w:kern w:val="2"/>
                <w:sz w:val="21"/>
                <w:szCs w:val="21"/>
                <w:lang w:val="en-US" w:eastAsia="zh-CN" w:bidi="ar-SA"/>
              </w:rPr>
              <w:t>保证金（</w:t>
            </w:r>
            <w:r>
              <w:rPr>
                <w:rFonts w:hint="eastAsia" w:ascii="宋体" w:hAnsi="宋体" w:cs="宋体"/>
                <w:kern w:val="2"/>
                <w:sz w:val="21"/>
                <w:szCs w:val="21"/>
                <w:lang w:val="en-US" w:eastAsia="zh-CN" w:bidi="ar-SA"/>
              </w:rPr>
              <w:t>万</w:t>
            </w:r>
            <w:r>
              <w:rPr>
                <w:rFonts w:hint="eastAsia" w:ascii="宋体" w:hAnsi="宋体" w:eastAsia="宋体" w:cs="宋体"/>
                <w:kern w:val="2"/>
                <w:sz w:val="21"/>
                <w:szCs w:val="21"/>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BT5栋一层1号</w:t>
            </w:r>
          </w:p>
        </w:tc>
        <w:tc>
          <w:tcPr>
            <w:tcW w:w="1359"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81.39</w:t>
            </w:r>
          </w:p>
        </w:tc>
        <w:tc>
          <w:tcPr>
            <w:tcW w:w="1337"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中等装饰</w:t>
            </w:r>
          </w:p>
        </w:tc>
        <w:tc>
          <w:tcPr>
            <w:tcW w:w="160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0.2604</w:t>
            </w:r>
          </w:p>
        </w:tc>
        <w:tc>
          <w:tcPr>
            <w:tcW w:w="1386"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BT5栋一层8号</w:t>
            </w:r>
          </w:p>
        </w:tc>
        <w:tc>
          <w:tcPr>
            <w:tcW w:w="1359"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75.03</w:t>
            </w:r>
          </w:p>
        </w:tc>
        <w:tc>
          <w:tcPr>
            <w:tcW w:w="1337"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中等装饰</w:t>
            </w:r>
          </w:p>
        </w:tc>
        <w:tc>
          <w:tcPr>
            <w:tcW w:w="160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0.2401</w:t>
            </w:r>
          </w:p>
        </w:tc>
        <w:tc>
          <w:tcPr>
            <w:tcW w:w="1386"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2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BT5栋一层10号</w:t>
            </w:r>
          </w:p>
        </w:tc>
        <w:tc>
          <w:tcPr>
            <w:tcW w:w="1359"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38.43</w:t>
            </w:r>
          </w:p>
        </w:tc>
        <w:tc>
          <w:tcPr>
            <w:tcW w:w="1337"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中等装饰</w:t>
            </w:r>
          </w:p>
        </w:tc>
        <w:tc>
          <w:tcPr>
            <w:tcW w:w="160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0.1230</w:t>
            </w:r>
          </w:p>
        </w:tc>
        <w:tc>
          <w:tcPr>
            <w:tcW w:w="1386"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2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BT5栋一层11号</w:t>
            </w:r>
          </w:p>
        </w:tc>
        <w:tc>
          <w:tcPr>
            <w:tcW w:w="1359"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48.30</w:t>
            </w:r>
          </w:p>
        </w:tc>
        <w:tc>
          <w:tcPr>
            <w:tcW w:w="1337"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中等装饰</w:t>
            </w:r>
          </w:p>
        </w:tc>
        <w:tc>
          <w:tcPr>
            <w:tcW w:w="1601"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0.1546</w:t>
            </w:r>
          </w:p>
        </w:tc>
        <w:tc>
          <w:tcPr>
            <w:tcW w:w="1386" w:type="dxa"/>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0.3</w:t>
            </w:r>
          </w:p>
        </w:tc>
      </w:tr>
    </w:tbl>
    <w:p>
      <w:pPr>
        <w:rPr>
          <w:rFonts w:hint="eastAsia" w:ascii="仿宋" w:hAnsi="仿宋" w:eastAsia="仿宋" w:cs="仿宋"/>
          <w:b/>
          <w:bCs/>
          <w:sz w:val="32"/>
          <w:szCs w:val="32"/>
        </w:rPr>
      </w:pPr>
      <w:r>
        <w:rPr>
          <w:rFonts w:hint="eastAsia" w:ascii="仿宋" w:hAnsi="仿宋" w:eastAsia="仿宋" w:cs="仿宋"/>
          <w:b/>
          <w:bCs/>
          <w:sz w:val="32"/>
          <w:szCs w:val="32"/>
        </w:rPr>
        <w:t>（四）标的现状：BT5栋一层1号、8号、10号11号商铺均为中等装饰，已办理《不动产权证》。租赁标的实际面积如与信息公告所标示的面积有出入，以实际面积为准。</w:t>
      </w:r>
    </w:p>
    <w:p>
      <w:pPr>
        <w:rPr>
          <w:rFonts w:hint="eastAsia" w:ascii="仿宋" w:hAnsi="仿宋" w:eastAsia="仿宋" w:cs="仿宋"/>
          <w:b/>
          <w:bCs/>
          <w:sz w:val="32"/>
          <w:szCs w:val="32"/>
        </w:rPr>
      </w:pPr>
      <w:r>
        <w:rPr>
          <w:rFonts w:hint="eastAsia" w:ascii="仿宋" w:hAnsi="仿宋" w:eastAsia="仿宋" w:cs="仿宋"/>
          <w:b/>
          <w:bCs/>
          <w:sz w:val="32"/>
          <w:szCs w:val="32"/>
        </w:rPr>
        <w:t>（五）标的起租：交易标的现状均为中等装饰，租赁期限及租金自双方签订合同约定之日起计。</w:t>
      </w:r>
    </w:p>
    <w:p>
      <w:pPr>
        <w:rPr>
          <w:rFonts w:hint="eastAsia" w:ascii="仿宋" w:hAnsi="仿宋" w:eastAsia="仿宋" w:cs="仿宋"/>
          <w:b/>
          <w:bCs/>
          <w:sz w:val="32"/>
          <w:szCs w:val="32"/>
        </w:rPr>
      </w:pPr>
      <w:r>
        <w:rPr>
          <w:rFonts w:hint="eastAsia" w:ascii="仿宋" w:hAnsi="仿宋" w:eastAsia="仿宋" w:cs="仿宋"/>
          <w:b/>
          <w:bCs/>
          <w:sz w:val="32"/>
          <w:szCs w:val="32"/>
        </w:rPr>
        <w:t>二、报名资格条件</w:t>
      </w:r>
    </w:p>
    <w:p>
      <w:pPr>
        <w:rPr>
          <w:rFonts w:hint="eastAsia" w:ascii="仿宋" w:hAnsi="仿宋" w:eastAsia="仿宋" w:cs="仿宋"/>
          <w:b/>
          <w:bCs/>
          <w:sz w:val="32"/>
          <w:szCs w:val="32"/>
        </w:rPr>
      </w:pPr>
      <w:r>
        <w:rPr>
          <w:rFonts w:hint="eastAsia" w:ascii="仿宋" w:hAnsi="仿宋" w:eastAsia="仿宋" w:cs="仿宋"/>
          <w:b/>
          <w:bCs/>
          <w:sz w:val="32"/>
          <w:szCs w:val="32"/>
        </w:rPr>
        <w:t>符合法律法规的相关规定，在中华人民共和国境内依法注册、有效存续的企业法人，或具有完全民事行为能力的自然人或其他组织。所经营的项目必须符合现行法律法规。</w:t>
      </w:r>
    </w:p>
    <w:p>
      <w:pPr>
        <w:rPr>
          <w:rFonts w:hint="eastAsia" w:ascii="仿宋" w:hAnsi="仿宋" w:eastAsia="仿宋" w:cs="仿宋"/>
          <w:b/>
          <w:bCs/>
          <w:sz w:val="32"/>
          <w:szCs w:val="32"/>
        </w:rPr>
      </w:pPr>
      <w:r>
        <w:rPr>
          <w:rFonts w:hint="eastAsia" w:ascii="仿宋" w:hAnsi="仿宋" w:eastAsia="仿宋" w:cs="仿宋"/>
          <w:b/>
          <w:bCs/>
          <w:sz w:val="32"/>
          <w:szCs w:val="32"/>
        </w:rPr>
        <w:t>三、项目交易条件及要求</w:t>
      </w:r>
    </w:p>
    <w:p>
      <w:pPr>
        <w:rPr>
          <w:rFonts w:hint="eastAsia" w:ascii="仿宋" w:hAnsi="仿宋" w:eastAsia="仿宋" w:cs="仿宋"/>
          <w:b/>
          <w:bCs/>
          <w:sz w:val="32"/>
          <w:szCs w:val="32"/>
        </w:rPr>
      </w:pPr>
      <w:r>
        <w:rPr>
          <w:rFonts w:hint="eastAsia" w:ascii="仿宋" w:hAnsi="仿宋" w:eastAsia="仿宋" w:cs="仿宋"/>
          <w:b/>
          <w:bCs/>
          <w:sz w:val="32"/>
          <w:szCs w:val="32"/>
        </w:rPr>
        <w:t>（一）中标人承租该物业时，不得存储、生产、加工、排放、出售等易燃、易爆、有毒、有害、有污染、有放射性的危险品及相关法律、法规明确禁止的生产经营活动，不得用作餐饮经营。竞得人所经营的项目必须符合房屋的规划功能，并在合同约定范围内进行。</w:t>
      </w:r>
    </w:p>
    <w:p>
      <w:pPr>
        <w:rPr>
          <w:rFonts w:hint="eastAsia" w:ascii="仿宋" w:hAnsi="仿宋" w:eastAsia="仿宋" w:cs="仿宋"/>
          <w:b/>
          <w:bCs/>
          <w:sz w:val="32"/>
          <w:szCs w:val="32"/>
        </w:rPr>
      </w:pPr>
      <w:r>
        <w:rPr>
          <w:rFonts w:hint="eastAsia" w:ascii="仿宋" w:hAnsi="仿宋" w:eastAsia="仿宋" w:cs="仿宋"/>
          <w:b/>
          <w:bCs/>
          <w:sz w:val="32"/>
          <w:szCs w:val="32"/>
        </w:rPr>
        <w:t>（二）根据交易标的情况，在签订的合同期限内，租赁面积50(含）㎡以下的，免租装修期为10天；租赁面积50㎡至100㎡（含）以下的，免租装修期为20天；租赁面积100㎡以上的，免租装修期为30天。免租装修期内租金免交，管理费、水电费按时足额缴交。</w:t>
      </w:r>
    </w:p>
    <w:p>
      <w:pPr>
        <w:rPr>
          <w:rFonts w:hint="eastAsia" w:ascii="仿宋" w:hAnsi="仿宋" w:eastAsia="仿宋" w:cs="仿宋"/>
          <w:b/>
          <w:bCs/>
          <w:sz w:val="32"/>
          <w:szCs w:val="32"/>
        </w:rPr>
      </w:pPr>
      <w:r>
        <w:rPr>
          <w:rFonts w:hint="eastAsia" w:ascii="仿宋" w:hAnsi="仿宋" w:eastAsia="仿宋" w:cs="仿宋"/>
          <w:b/>
          <w:bCs/>
          <w:sz w:val="32"/>
          <w:szCs w:val="32"/>
        </w:rPr>
        <w:t>（三）租赁期限及租金自双方签订合同约定之日起计，租期为3年。第二年起按上一年的租金标准逐年递增3% 。</w:t>
      </w:r>
    </w:p>
    <w:p>
      <w:pPr>
        <w:rPr>
          <w:rFonts w:hint="eastAsia" w:ascii="仿宋" w:hAnsi="仿宋" w:eastAsia="仿宋" w:cs="仿宋"/>
          <w:b/>
          <w:bCs/>
          <w:sz w:val="32"/>
          <w:szCs w:val="32"/>
        </w:rPr>
      </w:pPr>
      <w:r>
        <w:rPr>
          <w:rFonts w:hint="eastAsia" w:ascii="仿宋" w:hAnsi="仿宋" w:eastAsia="仿宋" w:cs="仿宋"/>
          <w:b/>
          <w:bCs/>
          <w:sz w:val="32"/>
          <w:szCs w:val="32"/>
        </w:rPr>
        <w:t>（四）在经营过程中，中标人如需调整、改变租赁标的装修，先向委托方申报调整方案，经委托方书面同意后方可施工。</w:t>
      </w:r>
    </w:p>
    <w:p>
      <w:pPr>
        <w:rPr>
          <w:rFonts w:hint="eastAsia" w:ascii="仿宋" w:hAnsi="仿宋" w:eastAsia="仿宋" w:cs="仿宋"/>
          <w:b/>
          <w:bCs/>
          <w:sz w:val="32"/>
          <w:szCs w:val="32"/>
        </w:rPr>
      </w:pPr>
      <w:r>
        <w:rPr>
          <w:rFonts w:hint="eastAsia" w:ascii="仿宋" w:hAnsi="仿宋" w:eastAsia="仿宋" w:cs="仿宋"/>
          <w:b/>
          <w:bCs/>
          <w:sz w:val="32"/>
          <w:szCs w:val="32"/>
        </w:rPr>
        <w:t>（五）中标人竞得租赁标的后不得转租。</w:t>
      </w:r>
    </w:p>
    <w:p>
      <w:pPr>
        <w:rPr>
          <w:rFonts w:hint="eastAsia" w:ascii="仿宋" w:hAnsi="仿宋" w:eastAsia="仿宋" w:cs="仿宋"/>
          <w:b/>
          <w:bCs/>
          <w:sz w:val="32"/>
          <w:szCs w:val="32"/>
        </w:rPr>
      </w:pPr>
      <w:r>
        <w:rPr>
          <w:rFonts w:hint="eastAsia" w:ascii="仿宋" w:hAnsi="仿宋" w:eastAsia="仿宋" w:cs="仿宋"/>
          <w:b/>
          <w:bCs/>
          <w:sz w:val="32"/>
          <w:szCs w:val="32"/>
        </w:rPr>
        <w:t>（六）意向竞价方在报名参与公开招租并向惠州市公共资源交易中心缴纳竞价保证金后，即视为意向竞价方已完成对租赁标的现状、租赁合同范本内容及相关交易风险的充分了解和知悉，并自愿承担一切交易风险。</w:t>
      </w:r>
    </w:p>
    <w:p>
      <w:pPr>
        <w:rPr>
          <w:rFonts w:hint="eastAsia" w:ascii="仿宋" w:hAnsi="仿宋" w:eastAsia="仿宋" w:cs="仿宋"/>
          <w:b/>
          <w:bCs/>
          <w:sz w:val="32"/>
          <w:szCs w:val="32"/>
        </w:rPr>
      </w:pPr>
      <w:r>
        <w:rPr>
          <w:rFonts w:hint="eastAsia" w:ascii="仿宋" w:hAnsi="仿宋" w:eastAsia="仿宋" w:cs="仿宋"/>
          <w:b/>
          <w:bCs/>
          <w:sz w:val="32"/>
          <w:szCs w:val="32"/>
        </w:rPr>
        <w:t>四、支付方式</w:t>
      </w:r>
    </w:p>
    <w:p>
      <w:pPr>
        <w:rPr>
          <w:rFonts w:hint="eastAsia" w:ascii="仿宋" w:hAnsi="仿宋" w:eastAsia="仿宋" w:cs="仿宋"/>
          <w:b/>
          <w:bCs/>
          <w:sz w:val="32"/>
          <w:szCs w:val="32"/>
        </w:rPr>
      </w:pPr>
      <w:r>
        <w:rPr>
          <w:rFonts w:hint="eastAsia" w:ascii="仿宋" w:hAnsi="仿宋" w:eastAsia="仿宋" w:cs="仿宋"/>
          <w:b/>
          <w:bCs/>
          <w:sz w:val="32"/>
          <w:szCs w:val="32"/>
        </w:rPr>
        <w:t>（一）租金按月支付，中标人必须于当月5日前付清。</w:t>
      </w:r>
    </w:p>
    <w:p>
      <w:pPr>
        <w:rPr>
          <w:rFonts w:hint="eastAsia" w:ascii="仿宋" w:hAnsi="仿宋" w:eastAsia="仿宋" w:cs="仿宋"/>
          <w:b/>
          <w:bCs/>
          <w:sz w:val="32"/>
          <w:szCs w:val="32"/>
        </w:rPr>
      </w:pPr>
      <w:r>
        <w:rPr>
          <w:rFonts w:hint="eastAsia" w:ascii="仿宋" w:hAnsi="仿宋" w:eastAsia="仿宋" w:cs="仿宋"/>
          <w:b/>
          <w:bCs/>
          <w:sz w:val="32"/>
          <w:szCs w:val="32"/>
        </w:rPr>
        <w:t>（二）中标人在签订本合同时应向委托人支付第一个月的租金和管理费。</w:t>
      </w:r>
    </w:p>
    <w:p>
      <w:pPr>
        <w:rPr>
          <w:rFonts w:hint="eastAsia" w:ascii="仿宋" w:hAnsi="仿宋" w:eastAsia="仿宋" w:cs="仿宋"/>
          <w:b/>
          <w:bCs/>
          <w:sz w:val="32"/>
          <w:szCs w:val="32"/>
        </w:rPr>
      </w:pPr>
      <w:r>
        <w:rPr>
          <w:rFonts w:hint="eastAsia" w:ascii="仿宋" w:hAnsi="仿宋" w:eastAsia="仿宋" w:cs="仿宋"/>
          <w:b/>
          <w:bCs/>
          <w:sz w:val="32"/>
          <w:szCs w:val="32"/>
        </w:rPr>
        <w:t>（四）中标人通过转账方式向委托人支付费用的，需根据委托人指定的收款方式进行。</w:t>
      </w:r>
    </w:p>
    <w:p>
      <w:pPr>
        <w:rPr>
          <w:rFonts w:hint="eastAsia" w:ascii="仿宋" w:hAnsi="仿宋" w:eastAsia="仿宋" w:cs="仿宋"/>
          <w:b/>
          <w:bCs/>
          <w:sz w:val="32"/>
          <w:szCs w:val="32"/>
        </w:rPr>
      </w:pPr>
      <w:r>
        <w:rPr>
          <w:rFonts w:hint="eastAsia" w:ascii="仿宋" w:hAnsi="仿宋" w:eastAsia="仿宋" w:cs="仿宋"/>
          <w:b/>
          <w:bCs/>
          <w:sz w:val="32"/>
          <w:szCs w:val="32"/>
        </w:rPr>
        <w:t>（五）委托人在收款后10个工作日内向竞得人开具正式发票，由竞得人自取。</w:t>
      </w:r>
    </w:p>
    <w:p>
      <w:pPr>
        <w:rPr>
          <w:rFonts w:hint="eastAsia" w:ascii="仿宋" w:hAnsi="仿宋" w:eastAsia="仿宋" w:cs="仿宋"/>
          <w:b/>
          <w:bCs/>
          <w:sz w:val="32"/>
          <w:szCs w:val="32"/>
        </w:rPr>
      </w:pPr>
      <w:r>
        <w:rPr>
          <w:rFonts w:hint="eastAsia" w:ascii="仿宋" w:hAnsi="仿宋" w:eastAsia="仿宋" w:cs="仿宋"/>
          <w:b/>
          <w:bCs/>
          <w:sz w:val="32"/>
          <w:szCs w:val="32"/>
        </w:rPr>
        <w:t>（六）承租方需承担该物业租用期间由承租方产生的所有费用。</w:t>
      </w:r>
    </w:p>
    <w:p>
      <w:pPr>
        <w:rPr>
          <w:rFonts w:hint="eastAsia" w:ascii="仿宋" w:hAnsi="仿宋" w:eastAsia="仿宋" w:cs="仿宋"/>
          <w:b/>
          <w:bCs/>
          <w:sz w:val="32"/>
          <w:szCs w:val="32"/>
        </w:rPr>
      </w:pPr>
      <w:r>
        <w:rPr>
          <w:rFonts w:hint="eastAsia" w:ascii="仿宋" w:hAnsi="仿宋" w:eastAsia="仿宋" w:cs="仿宋"/>
          <w:b/>
          <w:bCs/>
          <w:sz w:val="32"/>
          <w:szCs w:val="32"/>
        </w:rPr>
        <w:t>五、保证金</w:t>
      </w:r>
    </w:p>
    <w:p>
      <w:pPr>
        <w:rPr>
          <w:rFonts w:hint="eastAsia" w:ascii="仿宋" w:hAnsi="仿宋" w:eastAsia="仿宋" w:cs="仿宋"/>
          <w:b/>
          <w:bCs/>
          <w:sz w:val="32"/>
          <w:szCs w:val="32"/>
        </w:rPr>
      </w:pPr>
      <w:r>
        <w:rPr>
          <w:rFonts w:hint="eastAsia" w:ascii="仿宋" w:hAnsi="仿宋" w:eastAsia="仿宋" w:cs="仿宋"/>
          <w:b/>
          <w:bCs/>
          <w:sz w:val="32"/>
          <w:szCs w:val="32"/>
        </w:rPr>
        <w:t>（一）本次租赁标的需缴纳竞价保证金，BT5栋一层1号为0.5万元；BT5栋一层8号为0.5万元；BT5栋一层10号为0.3万元；BT5栋一层11号为0.3万元。</w:t>
      </w:r>
    </w:p>
    <w:p>
      <w:pPr>
        <w:rPr>
          <w:rFonts w:hint="eastAsia" w:ascii="仿宋" w:hAnsi="仿宋" w:eastAsia="仿宋" w:cs="仿宋"/>
          <w:b/>
          <w:bCs/>
          <w:sz w:val="32"/>
          <w:szCs w:val="32"/>
        </w:rPr>
      </w:pPr>
      <w:r>
        <w:rPr>
          <w:rFonts w:hint="eastAsia" w:ascii="仿宋" w:hAnsi="仿宋" w:eastAsia="仿宋" w:cs="仿宋"/>
          <w:b/>
          <w:bCs/>
          <w:sz w:val="32"/>
          <w:szCs w:val="32"/>
        </w:rPr>
        <w:t>（二）签订合同时，中标方须另外向委托方交纳履约保证金，为租赁合同的最后二个月的租金、管理费、水电费（预估）等标准进行收取。</w:t>
      </w:r>
    </w:p>
    <w:p>
      <w:pPr>
        <w:rPr>
          <w:rFonts w:hint="eastAsia" w:ascii="仿宋" w:hAnsi="仿宋" w:eastAsia="仿宋" w:cs="仿宋"/>
          <w:b/>
          <w:bCs/>
          <w:sz w:val="32"/>
          <w:szCs w:val="32"/>
        </w:rPr>
      </w:pPr>
      <w:r>
        <w:rPr>
          <w:rFonts w:hint="eastAsia" w:ascii="仿宋" w:hAnsi="仿宋" w:eastAsia="仿宋" w:cs="仿宋"/>
          <w:b/>
          <w:bCs/>
          <w:sz w:val="32"/>
          <w:szCs w:val="32"/>
        </w:rPr>
        <w:t>（二）房屋租赁期满，经甲方确认，乙方没有欠费、违约和损坏房屋并将承租房屋按甲方要求标准交还甲方后3个工作日内，此保证金不计利息退回给乙方。乙方逾期交纳保证金，本合同自动解除，甲方可另行将房屋出租给他人使用。</w:t>
      </w:r>
    </w:p>
    <w:p>
      <w:pPr>
        <w:rPr>
          <w:rFonts w:hint="eastAsia" w:ascii="仿宋" w:hAnsi="仿宋" w:eastAsia="仿宋" w:cs="仿宋"/>
          <w:b/>
          <w:bCs/>
          <w:sz w:val="32"/>
          <w:szCs w:val="32"/>
        </w:rPr>
      </w:pPr>
      <w:r>
        <w:rPr>
          <w:rFonts w:hint="eastAsia" w:ascii="仿宋" w:hAnsi="仿宋" w:eastAsia="仿宋" w:cs="仿宋"/>
          <w:b/>
          <w:bCs/>
          <w:sz w:val="32"/>
          <w:szCs w:val="32"/>
        </w:rPr>
        <w:t>六、其他注意事项</w:t>
      </w:r>
    </w:p>
    <w:p>
      <w:pPr>
        <w:rPr>
          <w:rFonts w:hint="eastAsia" w:ascii="仿宋" w:hAnsi="仿宋" w:eastAsia="仿宋" w:cs="仿宋"/>
          <w:b/>
          <w:bCs/>
          <w:sz w:val="32"/>
          <w:szCs w:val="32"/>
        </w:rPr>
      </w:pPr>
      <w:r>
        <w:rPr>
          <w:rFonts w:hint="eastAsia" w:ascii="仿宋" w:hAnsi="仿宋" w:eastAsia="仿宋" w:cs="仿宋"/>
          <w:b/>
          <w:bCs/>
          <w:sz w:val="32"/>
          <w:szCs w:val="32"/>
        </w:rPr>
        <w:t>（一）成交候选人有下列行为之一的，视为违约，取消成交资格，竞价保证金不予退还，并由有关部门依法处理；造成损失的，成交候选人还应依法承担赔偿责任：</w:t>
      </w:r>
    </w:p>
    <w:p>
      <w:pPr>
        <w:rPr>
          <w:rFonts w:hint="eastAsia" w:ascii="仿宋" w:hAnsi="仿宋" w:eastAsia="仿宋" w:cs="仿宋"/>
          <w:b/>
          <w:bCs/>
          <w:sz w:val="32"/>
          <w:szCs w:val="32"/>
        </w:rPr>
      </w:pPr>
      <w:r>
        <w:rPr>
          <w:rFonts w:hint="eastAsia" w:ascii="仿宋" w:hAnsi="仿宋" w:eastAsia="仿宋" w:cs="仿宋"/>
          <w:b/>
          <w:bCs/>
          <w:sz w:val="32"/>
          <w:szCs w:val="32"/>
        </w:rPr>
        <w:t>①　不符合竞价资格条件的；</w:t>
      </w:r>
    </w:p>
    <w:p>
      <w:pPr>
        <w:rPr>
          <w:rFonts w:hint="eastAsia" w:ascii="仿宋" w:hAnsi="仿宋" w:eastAsia="仿宋" w:cs="仿宋"/>
          <w:b/>
          <w:bCs/>
          <w:sz w:val="32"/>
          <w:szCs w:val="32"/>
        </w:rPr>
      </w:pPr>
      <w:r>
        <w:rPr>
          <w:rFonts w:hint="eastAsia" w:ascii="仿宋" w:hAnsi="仿宋" w:eastAsia="仿宋" w:cs="仿宋"/>
          <w:b/>
          <w:bCs/>
          <w:sz w:val="32"/>
          <w:szCs w:val="32"/>
        </w:rPr>
        <w:t>②　逾期或拒绝办理成交手续的；</w:t>
      </w:r>
    </w:p>
    <w:p>
      <w:pPr>
        <w:rPr>
          <w:rFonts w:hint="eastAsia" w:ascii="仿宋" w:hAnsi="仿宋" w:eastAsia="仿宋" w:cs="仿宋"/>
          <w:b/>
          <w:bCs/>
          <w:sz w:val="32"/>
          <w:szCs w:val="32"/>
        </w:rPr>
      </w:pPr>
      <w:r>
        <w:rPr>
          <w:rFonts w:hint="eastAsia" w:ascii="仿宋" w:hAnsi="仿宋" w:eastAsia="仿宋" w:cs="仿宋"/>
          <w:b/>
          <w:bCs/>
          <w:sz w:val="32"/>
          <w:szCs w:val="32"/>
        </w:rPr>
        <w:t>③　逾期或拒绝签订产权交易成交合同的；</w:t>
      </w:r>
    </w:p>
    <w:p>
      <w:pPr>
        <w:rPr>
          <w:rFonts w:hint="eastAsia" w:ascii="仿宋" w:hAnsi="仿宋" w:eastAsia="仿宋" w:cs="仿宋"/>
          <w:b/>
          <w:bCs/>
          <w:sz w:val="32"/>
          <w:szCs w:val="32"/>
        </w:rPr>
      </w:pPr>
      <w:r>
        <w:rPr>
          <w:rFonts w:hint="eastAsia" w:ascii="仿宋" w:hAnsi="仿宋" w:eastAsia="仿宋" w:cs="仿宋"/>
          <w:b/>
          <w:bCs/>
          <w:sz w:val="32"/>
          <w:szCs w:val="32"/>
        </w:rPr>
        <w:t>④　不按交易条件规定提供有关纸质文件材料，或提供虚假文件材料、隐瞒重要事实的；</w:t>
      </w:r>
    </w:p>
    <w:p>
      <w:pPr>
        <w:rPr>
          <w:rFonts w:hint="eastAsia" w:ascii="仿宋" w:hAnsi="仿宋" w:eastAsia="仿宋" w:cs="仿宋"/>
          <w:b/>
          <w:bCs/>
          <w:sz w:val="32"/>
          <w:szCs w:val="32"/>
        </w:rPr>
      </w:pPr>
      <w:r>
        <w:rPr>
          <w:rFonts w:hint="eastAsia" w:ascii="仿宋" w:hAnsi="仿宋" w:eastAsia="仿宋" w:cs="仿宋"/>
          <w:b/>
          <w:bCs/>
          <w:sz w:val="32"/>
          <w:szCs w:val="32"/>
        </w:rPr>
        <w:t>⑤　采取行贿、恶意串通等非法手段竞得的；</w:t>
      </w:r>
    </w:p>
    <w:p>
      <w:pPr>
        <w:rPr>
          <w:rFonts w:hint="eastAsia" w:ascii="仿宋" w:hAnsi="仿宋" w:eastAsia="仿宋" w:cs="仿宋"/>
          <w:b/>
          <w:bCs/>
          <w:sz w:val="32"/>
          <w:szCs w:val="32"/>
        </w:rPr>
      </w:pPr>
      <w:r>
        <w:rPr>
          <w:rFonts w:hint="eastAsia" w:ascii="仿宋" w:hAnsi="仿宋" w:eastAsia="仿宋" w:cs="仿宋"/>
          <w:b/>
          <w:bCs/>
          <w:sz w:val="32"/>
          <w:szCs w:val="32"/>
        </w:rPr>
        <w:t>⑥　以其他非法手段竞得的；</w:t>
      </w:r>
    </w:p>
    <w:p>
      <w:pPr>
        <w:rPr>
          <w:rFonts w:hint="eastAsia" w:ascii="仿宋" w:hAnsi="仿宋" w:eastAsia="仿宋" w:cs="仿宋"/>
          <w:b/>
          <w:bCs/>
          <w:sz w:val="32"/>
          <w:szCs w:val="32"/>
        </w:rPr>
      </w:pPr>
      <w:r>
        <w:rPr>
          <w:rFonts w:hint="eastAsia" w:ascii="仿宋" w:hAnsi="仿宋" w:eastAsia="仿宋" w:cs="仿宋"/>
          <w:b/>
          <w:bCs/>
          <w:sz w:val="32"/>
          <w:szCs w:val="32"/>
        </w:rPr>
        <w:t>⑦　构成违约责任的其他行为。</w:t>
      </w:r>
    </w:p>
    <w:p>
      <w:pPr>
        <w:rPr>
          <w:rFonts w:hint="eastAsia" w:ascii="仿宋" w:hAnsi="仿宋" w:eastAsia="仿宋" w:cs="仿宋"/>
          <w:b/>
          <w:bCs/>
          <w:sz w:val="32"/>
          <w:szCs w:val="32"/>
        </w:rPr>
      </w:pPr>
      <w:r>
        <w:rPr>
          <w:rFonts w:hint="eastAsia" w:ascii="仿宋" w:hAnsi="仿宋" w:eastAsia="仿宋" w:cs="仿宋"/>
          <w:b/>
          <w:bCs/>
          <w:sz w:val="32"/>
          <w:szCs w:val="32"/>
        </w:rPr>
        <w:t>（二）项目竞价成交后，竞得人不按相关法律法规或挂牌公告规定的期限办理成交手续和签订交易合同的，均视为自动放弃竞得资格，其交易保证金不予退还。</w:t>
      </w:r>
    </w:p>
    <w:p>
      <w:pPr>
        <w:rPr>
          <w:rFonts w:hint="eastAsia" w:ascii="仿宋" w:hAnsi="仿宋" w:eastAsia="仿宋" w:cs="仿宋"/>
          <w:b/>
          <w:bCs/>
          <w:sz w:val="32"/>
          <w:szCs w:val="32"/>
        </w:rPr>
      </w:pPr>
      <w:r>
        <w:rPr>
          <w:rFonts w:hint="eastAsia" w:ascii="仿宋" w:hAnsi="仿宋" w:eastAsia="仿宋" w:cs="仿宋"/>
          <w:b/>
          <w:bCs/>
          <w:sz w:val="32"/>
          <w:szCs w:val="32"/>
        </w:rPr>
        <w:t>（三）竞租人需认真阅读委托方提供的《房屋租赁合同》版本，竞租人竞得租赁物业后必须严格按照委托方提供的合同版本签订合同，不得反悔，否则取消竞得资格，竞价保证金不予退还。</w:t>
      </w:r>
    </w:p>
    <w:p>
      <w:pPr>
        <w:rPr>
          <w:rFonts w:hint="eastAsia" w:ascii="仿宋" w:hAnsi="仿宋" w:eastAsia="仿宋" w:cs="仿宋"/>
          <w:b/>
          <w:bCs/>
          <w:sz w:val="32"/>
          <w:szCs w:val="32"/>
        </w:rPr>
      </w:pPr>
      <w:r>
        <w:rPr>
          <w:rFonts w:hint="eastAsia" w:ascii="仿宋" w:hAnsi="仿宋" w:eastAsia="仿宋" w:cs="仿宋"/>
          <w:b/>
          <w:bCs/>
          <w:sz w:val="32"/>
          <w:szCs w:val="32"/>
        </w:rPr>
        <w:t>七、其他约定事项详见房屋租赁合同范本。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6375E"/>
    <w:rsid w:val="1B16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napToGrid/>
      <w:spacing w:line="360" w:lineRule="auto"/>
      <w:jc w:val="center"/>
    </w:pPr>
    <w:rPr>
      <w:rFonts w:ascii="宋体" w:eastAsia="宋体" w:cs="宋体"/>
      <w:sz w:val="44"/>
      <w:szCs w:val="4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2023-07-14T09:07:00Z</dcterms:created>
  <dc:creator>陈昊彤</dc:creator>
  <cp:lastModifiedBy>陈昊彤</cp:lastModifiedBy>
  <dcterms:modified xsi:type="dcterms:W3CDTF">2023-07-14T09:08:06Z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118DD6134680440A85020FC1A990D351</vt:lpwstr>
  </property>
</Properties>
</file>