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ind w:left="0" w:leftChars="0" w:firstLine="0" w:firstLineChars="0"/>
        <w:rPr>
          <w:rFonts w:hint="default" w:eastAsia="黑体"/>
          <w:lang w:val="en-US" w:eastAsia="zh-CN"/>
        </w:rPr>
      </w:pPr>
      <w:r>
        <w:rPr>
          <w:rFonts w:hint="eastAsia"/>
          <w:lang w:val="en-US" w:eastAsia="zh-CN"/>
        </w:rPr>
        <w:t>附件1</w:t>
      </w:r>
    </w:p>
    <w:p>
      <w:pPr>
        <w:pStyle w:val="10"/>
        <w:bidi w:val="0"/>
        <w:rPr>
          <w:rFonts w:hint="eastAsia"/>
          <w:b w:val="0"/>
          <w:bCs w:val="0"/>
          <w:color w:val="auto"/>
        </w:rPr>
      </w:pPr>
      <w:r>
        <w:rPr>
          <w:rFonts w:hint="eastAsia"/>
          <w:b w:val="0"/>
          <w:bCs w:val="0"/>
          <w:color w:val="auto"/>
        </w:rPr>
        <w:t>大亚湾新兴产业园南区（塘横片区）</w:t>
      </w:r>
    </w:p>
    <w:p>
      <w:pPr>
        <w:pStyle w:val="10"/>
        <w:bidi w:val="0"/>
        <w:rPr>
          <w:rFonts w:hint="eastAsia"/>
          <w:b w:val="0"/>
          <w:bCs w:val="0"/>
          <w:color w:val="auto"/>
        </w:rPr>
      </w:pPr>
      <w:r>
        <w:rPr>
          <w:rFonts w:hint="eastAsia"/>
          <w:b w:val="0"/>
          <w:bCs w:val="0"/>
          <w:color w:val="auto"/>
        </w:rPr>
        <w:t>起步区部分工程项目多余石方</w:t>
      </w:r>
    </w:p>
    <w:p>
      <w:pPr>
        <w:pStyle w:val="10"/>
        <w:bidi w:val="0"/>
        <w:rPr>
          <w:rFonts w:hint="eastAsia"/>
          <w:b w:val="0"/>
          <w:bCs w:val="0"/>
          <w:color w:val="auto"/>
        </w:rPr>
      </w:pPr>
      <w:r>
        <w:rPr>
          <w:rFonts w:hint="eastAsia"/>
          <w:b w:val="0"/>
          <w:bCs w:val="0"/>
          <w:color w:val="auto"/>
        </w:rPr>
        <w:t>挂牌销售方案</w:t>
      </w:r>
    </w:p>
    <w:p>
      <w:pPr>
        <w:bidi w:val="0"/>
        <w:rPr>
          <w:rFonts w:hint="eastAsia"/>
          <w:color w:val="auto"/>
        </w:rPr>
      </w:pPr>
    </w:p>
    <w:p>
      <w:pPr>
        <w:bidi w:val="0"/>
        <w:rPr>
          <w:rFonts w:hint="eastAsia"/>
          <w:color w:val="auto"/>
        </w:rPr>
      </w:pPr>
      <w:r>
        <w:rPr>
          <w:rFonts w:hint="eastAsia"/>
          <w:color w:val="auto"/>
        </w:rPr>
        <w:t>根据《广东省自然资源厅关于加强我省建筑石料资源保障工作的通知》（粤自然资规字〔2020〕8号）、《广东省自然资源厅关于进一步规范工程建设项目涉砂石土处置工作的通知》（粤自然资函〔2023〕492号）、《广东省自然资源厅关于进一步规范工程建设项目涉砂石土处置工作的补充通知》（粤自然资矿管〔2024〕502号）</w:t>
      </w:r>
      <w:r>
        <w:rPr>
          <w:rFonts w:hint="eastAsia"/>
          <w:color w:val="auto"/>
          <w:lang w:val="en-US" w:eastAsia="zh-CN"/>
        </w:rPr>
        <w:t>等</w:t>
      </w:r>
      <w:r>
        <w:rPr>
          <w:rFonts w:hint="eastAsia"/>
          <w:color w:val="auto"/>
        </w:rPr>
        <w:t>规定，大亚湾新兴产业园南区（塘横片区）起步区部分工程项目多余砂石资源以网上公开挂牌方式销售。结</w:t>
      </w:r>
      <w:bookmarkStart w:id="0" w:name="_GoBack"/>
      <w:bookmarkEnd w:id="0"/>
      <w:r>
        <w:rPr>
          <w:rFonts w:hint="eastAsia"/>
          <w:color w:val="auto"/>
        </w:rPr>
        <w:t>合拟销售砂石资源实际情况，特制订本销售方案。</w:t>
      </w:r>
    </w:p>
    <w:p>
      <w:pPr>
        <w:pStyle w:val="3"/>
        <w:numPr>
          <w:ilvl w:val="0"/>
          <w:numId w:val="1"/>
        </w:numPr>
        <w:bidi w:val="0"/>
        <w:rPr>
          <w:rFonts w:hint="eastAsia"/>
          <w:color w:val="auto"/>
        </w:rPr>
      </w:pPr>
      <w:r>
        <w:rPr>
          <w:rFonts w:hint="eastAsia"/>
          <w:color w:val="auto"/>
        </w:rPr>
        <w:t>拟挂牌销售工程建设多余砂石资源的基本情况</w:t>
      </w:r>
    </w:p>
    <w:p>
      <w:pPr>
        <w:pStyle w:val="4"/>
        <w:numPr>
          <w:ilvl w:val="0"/>
          <w:numId w:val="2"/>
        </w:numPr>
        <w:bidi w:val="0"/>
        <w:rPr>
          <w:rFonts w:hint="eastAsia"/>
          <w:color w:val="auto"/>
          <w:lang w:eastAsia="zh-CN"/>
        </w:rPr>
      </w:pPr>
      <w:r>
        <w:rPr>
          <w:rFonts w:hint="eastAsia"/>
          <w:color w:val="auto"/>
          <w:lang w:eastAsia="zh-CN"/>
        </w:rPr>
        <w:t>项目名称</w:t>
      </w:r>
    </w:p>
    <w:p>
      <w:pPr>
        <w:bidi w:val="0"/>
        <w:rPr>
          <w:rFonts w:hint="eastAsia"/>
          <w:color w:val="auto"/>
          <w:lang w:val="en-US" w:eastAsia="zh-CN"/>
        </w:rPr>
      </w:pPr>
      <w:r>
        <w:rPr>
          <w:rFonts w:hint="eastAsia"/>
          <w:color w:val="auto"/>
          <w:lang w:eastAsia="zh-CN"/>
        </w:rPr>
        <w:t>大亚湾新兴产业园南区（塘横片区）起步区部分工程项目多余石方拍卖项目。</w:t>
      </w:r>
    </w:p>
    <w:p>
      <w:pPr>
        <w:pStyle w:val="4"/>
        <w:numPr>
          <w:ilvl w:val="0"/>
          <w:numId w:val="2"/>
        </w:numPr>
        <w:bidi w:val="0"/>
        <w:ind w:left="0" w:leftChars="0" w:firstLine="640" w:firstLineChars="200"/>
        <w:rPr>
          <w:rFonts w:hint="eastAsia"/>
          <w:color w:val="auto"/>
          <w:lang w:eastAsia="zh-CN"/>
        </w:rPr>
      </w:pPr>
      <w:r>
        <w:rPr>
          <w:rFonts w:hint="eastAsia"/>
          <w:color w:val="auto"/>
          <w:lang w:eastAsia="zh-CN"/>
        </w:rPr>
        <w:t>涉及建设工程范围及位置</w:t>
      </w:r>
    </w:p>
    <w:p>
      <w:pPr>
        <w:pStyle w:val="5"/>
        <w:bidi w:val="0"/>
        <w:rPr>
          <w:rFonts w:hint="eastAsia"/>
          <w:color w:val="auto"/>
          <w:lang w:eastAsia="zh-CN"/>
        </w:rPr>
      </w:pPr>
      <w:r>
        <w:rPr>
          <w:rFonts w:hint="eastAsia"/>
          <w:color w:val="auto"/>
          <w:lang w:val="en-US" w:eastAsia="zh-CN"/>
        </w:rPr>
        <w:t>1.</w:t>
      </w:r>
      <w:r>
        <w:rPr>
          <w:rFonts w:hint="eastAsia"/>
          <w:color w:val="auto"/>
          <w:lang w:eastAsia="zh-CN"/>
        </w:rPr>
        <w:t>龙山四路（塘横大道-新荷大道段）市政工程</w:t>
      </w:r>
    </w:p>
    <w:p>
      <w:pPr>
        <w:bidi w:val="0"/>
        <w:rPr>
          <w:rFonts w:hint="eastAsia"/>
          <w:color w:val="auto"/>
          <w:lang w:eastAsia="zh-CN"/>
        </w:rPr>
      </w:pPr>
      <w:r>
        <w:rPr>
          <w:rFonts w:hint="eastAsia"/>
          <w:color w:val="auto"/>
          <w:lang w:val="en-US" w:eastAsia="zh-CN"/>
        </w:rPr>
        <w:t>项目部分</w:t>
      </w:r>
      <w:r>
        <w:rPr>
          <w:rFonts w:hint="eastAsia"/>
          <w:color w:val="auto"/>
          <w:lang w:eastAsia="zh-CN"/>
        </w:rPr>
        <w:t>开挖，设计范围起点顺接现状新荷大道交叉口，穿越自然山体往南，终点至塘横大道，路线总长2.145km，包含一座隧道长485m，为城市主干道，道路红线宽28.5～51.0m，设计车速为50km/h，机动车道采用双向6车道。具体位置见图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5241925" cy="4685030"/>
            <wp:effectExtent l="0" t="0" r="15875" b="1270"/>
            <wp:docPr id="2" name="图片 1" descr="5bd73737b36a4a48c8a3b9941b59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bd73737b36a4a48c8a3b9941b596d1"/>
                    <pic:cNvPicPr>
                      <a:picLocks noChangeAspect="1"/>
                    </pic:cNvPicPr>
                  </pic:nvPicPr>
                  <pic:blipFill>
                    <a:blip r:embed="rId5"/>
                    <a:srcRect l="5273" t="13835" r="3906" b="6358"/>
                    <a:stretch>
                      <a:fillRect/>
                    </a:stretch>
                  </pic:blipFill>
                  <pic:spPr>
                    <a:xfrm>
                      <a:off x="0" y="0"/>
                      <a:ext cx="5241925" cy="46850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olor w:val="auto"/>
          <w:kern w:val="0"/>
          <w:sz w:val="28"/>
          <w:szCs w:val="28"/>
          <w:highlight w:val="none"/>
          <w:lang w:val="en-US" w:eastAsia="zh-CN" w:bidi="ar-SA"/>
        </w:rPr>
      </w:pPr>
      <w:r>
        <w:rPr>
          <w:rFonts w:hint="eastAsia" w:ascii="仿宋" w:hAnsi="仿宋" w:eastAsia="仿宋"/>
          <w:color w:val="auto"/>
          <w:kern w:val="0"/>
          <w:sz w:val="28"/>
          <w:szCs w:val="28"/>
          <w:highlight w:val="none"/>
          <w:lang w:val="en-US" w:eastAsia="zh-CN" w:bidi="ar-SA"/>
        </w:rPr>
        <w:t>图</w:t>
      </w:r>
      <w:r>
        <w:rPr>
          <w:rFonts w:hint="default" w:ascii="Times New Roman" w:hAnsi="Times New Roman" w:eastAsia="仿宋" w:cs="Times New Roman"/>
          <w:color w:val="auto"/>
          <w:kern w:val="0"/>
          <w:sz w:val="28"/>
          <w:szCs w:val="28"/>
          <w:highlight w:val="none"/>
          <w:lang w:val="en-US" w:eastAsia="zh-CN" w:bidi="ar-SA"/>
        </w:rPr>
        <w:t>1 龙山</w:t>
      </w:r>
      <w:r>
        <w:rPr>
          <w:rFonts w:hint="eastAsia" w:ascii="仿宋" w:hAnsi="仿宋" w:eastAsia="仿宋"/>
          <w:color w:val="auto"/>
          <w:kern w:val="0"/>
          <w:sz w:val="28"/>
          <w:szCs w:val="28"/>
          <w:highlight w:val="none"/>
          <w:lang w:val="en-US" w:eastAsia="zh-CN" w:bidi="ar-SA"/>
        </w:rPr>
        <w:t>四路（塘横大道-新荷大道段）市政工程拟建位置</w:t>
      </w:r>
    </w:p>
    <w:p>
      <w:pPr>
        <w:bidi w:val="0"/>
        <w:rPr>
          <w:rStyle w:val="9"/>
          <w:rFonts w:hint="eastAsia"/>
          <w:color w:val="auto"/>
          <w:lang w:eastAsia="zh-CN"/>
        </w:rPr>
      </w:pPr>
      <w:r>
        <w:rPr>
          <w:rStyle w:val="9"/>
          <w:rFonts w:hint="eastAsia"/>
          <w:color w:val="auto"/>
          <w:lang w:eastAsia="zh-CN"/>
        </w:rPr>
        <w:t>根据项目特点，划分路基土石方、隧道土石方、软基换填土石方、施工便道土石方。按照场地道路设计标高，场地多为挖方区，各分项详细资料如下表1。</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olor w:val="auto"/>
          <w:kern w:val="0"/>
          <w:sz w:val="28"/>
          <w:szCs w:val="28"/>
          <w:highlight w:val="none"/>
          <w:lang w:val="en-US" w:eastAsia="zh-CN" w:bidi="ar-SA"/>
        </w:rPr>
      </w:pPr>
      <w:r>
        <w:rPr>
          <w:rFonts w:hint="eastAsia" w:ascii="仿宋" w:hAnsi="仿宋" w:eastAsia="仿宋"/>
          <w:color w:val="auto"/>
          <w:kern w:val="0"/>
          <w:sz w:val="28"/>
          <w:szCs w:val="28"/>
          <w:highlight w:val="none"/>
          <w:lang w:val="en-US" w:eastAsia="zh-CN" w:bidi="ar-SA"/>
        </w:rPr>
        <w:t>表1 龙山四路（塘横大道-新荷大道段）市政工程概况一览表</w:t>
      </w:r>
    </w:p>
    <w:tbl>
      <w:tblPr>
        <w:tblStyle w:val="8"/>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5"/>
        <w:gridCol w:w="1704"/>
        <w:gridCol w:w="1511"/>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blHeader/>
          <w:jc w:val="center"/>
        </w:trPr>
        <w:tc>
          <w:tcPr>
            <w:tcW w:w="1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名称</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里程桩号</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红线宽度（m）</w:t>
            </w:r>
          </w:p>
        </w:tc>
        <w:tc>
          <w:tcPr>
            <w:tcW w:w="151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长度（m）</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龙山四路</w:t>
            </w:r>
          </w:p>
        </w:tc>
        <w:tc>
          <w:tcPr>
            <w:tcW w:w="170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LSK0+200～LSK2+120</w:t>
            </w:r>
          </w:p>
        </w:tc>
        <w:tc>
          <w:tcPr>
            <w:tcW w:w="1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28.5～51.0</w:t>
            </w:r>
          </w:p>
        </w:tc>
        <w:tc>
          <w:tcPr>
            <w:tcW w:w="151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2145</w:t>
            </w:r>
          </w:p>
        </w:tc>
        <w:tc>
          <w:tcPr>
            <w:tcW w:w="1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33.60～53.72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隧道工程</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YK0+755～YK1+240</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485</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43.29～53.43</w:t>
            </w:r>
          </w:p>
        </w:tc>
      </w:tr>
    </w:tbl>
    <w:p>
      <w:pPr>
        <w:pStyle w:val="5"/>
        <w:bidi w:val="0"/>
        <w:rPr>
          <w:rFonts w:hint="eastAsia"/>
          <w:color w:val="auto"/>
          <w:lang w:val="en-US" w:eastAsia="zh-CN"/>
        </w:rPr>
      </w:pPr>
      <w:r>
        <w:rPr>
          <w:rFonts w:hint="eastAsia"/>
          <w:color w:val="auto"/>
          <w:lang w:val="en-US" w:eastAsia="zh-CN"/>
        </w:rPr>
        <w:t>2.龙山五路（新荷大道-塘横大道）市政工程</w:t>
      </w:r>
    </w:p>
    <w:p>
      <w:pPr>
        <w:bidi w:val="0"/>
        <w:rPr>
          <w:rFonts w:hint="eastAsia"/>
          <w:color w:val="auto"/>
          <w:lang w:val="en-US" w:eastAsia="zh-CN"/>
        </w:rPr>
      </w:pPr>
      <w:r>
        <w:rPr>
          <w:rFonts w:hint="eastAsia"/>
          <w:color w:val="auto"/>
          <w:lang w:val="en-US" w:eastAsia="zh-CN"/>
        </w:rPr>
        <w:t>项目部分开挖，设计建设范围包含龙山五路主线、辅道、场平；主线道路全长约2341.792m，道路等级为城市主干路，双向6车道，设计速度为60km/h；另设有进出龙山五路主线的辅道长约1048.835m，辅道为城市立交匝道，道路等级按城市次干路标准，单向2车道，设计速度为40km/h；规划红线宽度为26.5～53m，其中新荷大道-厚德一路段规划红线宽26.5～43m，厚德一路至塘横大道段规划红线宽度53m。具体位置见下图2。项目由道路、桥梁、隧道和匝道组成，各分项详细资料如下表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olor w:val="auto"/>
          <w:kern w:val="0"/>
          <w:sz w:val="28"/>
          <w:szCs w:val="28"/>
          <w:highlight w:val="none"/>
          <w:lang w:val="en-US" w:eastAsia="zh-CN" w:bidi="ar-SA"/>
        </w:rPr>
      </w:pPr>
      <w:r>
        <w:rPr>
          <w:rFonts w:hint="eastAsia" w:ascii="仿宋" w:hAnsi="仿宋" w:eastAsia="仿宋"/>
          <w:color w:val="auto"/>
          <w:kern w:val="0"/>
          <w:sz w:val="28"/>
          <w:szCs w:val="28"/>
          <w:highlight w:val="none"/>
          <w:lang w:val="en-US" w:eastAsia="zh-CN" w:bidi="ar-SA"/>
        </w:rPr>
        <w:t>表2 龙山五路（新荷大道-塘横大道）市政工程概况一览表</w:t>
      </w:r>
    </w:p>
    <w:tbl>
      <w:tblPr>
        <w:tblStyle w:val="8"/>
        <w:tblW w:w="85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417"/>
        <w:gridCol w:w="1718"/>
        <w:gridCol w:w="1372"/>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区域</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仿宋" w:hAnsi="仿宋" w:eastAsia="仿宋" w:cs="宋体"/>
                <w:color w:val="auto"/>
                <w:kern w:val="0"/>
                <w:sz w:val="24"/>
                <w:highlight w:val="none"/>
                <w:lang w:val="en-US" w:eastAsia="zh-CN"/>
              </w:rPr>
              <w:t>里程桩号</w:t>
            </w:r>
          </w:p>
        </w:tc>
        <w:tc>
          <w:tcPr>
            <w:tcW w:w="17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红线宽度（m）</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长度（m）</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道路</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K0+000～K0+440</w:t>
            </w:r>
          </w:p>
        </w:tc>
        <w:tc>
          <w:tcPr>
            <w:tcW w:w="17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26.5～53m</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440</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34.17～44.58m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桥梁</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K0+440～K0+545</w:t>
            </w:r>
          </w:p>
        </w:tc>
        <w:tc>
          <w:tcPr>
            <w:tcW w:w="171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105</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44.58～48.132m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右线隧道</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YK0+610～YK1+335</w:t>
            </w:r>
          </w:p>
        </w:tc>
        <w:tc>
          <w:tcPr>
            <w:tcW w:w="171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725</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49.752～63.452m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左线隧道</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ZK0+585～ZK1+320</w:t>
            </w:r>
          </w:p>
        </w:tc>
        <w:tc>
          <w:tcPr>
            <w:tcW w:w="171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735</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49.752～63.452m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道路1</w:t>
            </w:r>
          </w:p>
        </w:tc>
        <w:tc>
          <w:tcPr>
            <w:tcW w:w="24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K1+335～K1+840</w:t>
            </w:r>
          </w:p>
        </w:tc>
        <w:tc>
          <w:tcPr>
            <w:tcW w:w="1718" w:type="dxa"/>
            <w:vMerge w:val="continue"/>
            <w:tcBorders>
              <w:left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505</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59.667～65.049m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桥梁</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YK1+840～YK2+000</w:t>
            </w:r>
          </w:p>
        </w:tc>
        <w:tc>
          <w:tcPr>
            <w:tcW w:w="171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165</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65.049～71.42m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匝道</w:t>
            </w:r>
          </w:p>
        </w:tc>
        <w:tc>
          <w:tcPr>
            <w:tcW w:w="2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color w:val="auto"/>
              </w:rPr>
            </w:pPr>
            <w:r>
              <w:rPr>
                <w:rFonts w:hint="eastAsia" w:ascii="Times New Roman" w:hAnsi="Times New Roman" w:eastAsia="仿宋" w:cs="Times New Roman"/>
                <w:color w:val="auto"/>
                <w:kern w:val="0"/>
                <w:sz w:val="22"/>
                <w:szCs w:val="22"/>
                <w:highlight w:val="none"/>
                <w:lang w:val="en-US" w:eastAsia="zh-CN"/>
              </w:rPr>
              <w:t>BK0+000～BK0+169.672</w:t>
            </w:r>
          </w:p>
        </w:tc>
        <w:tc>
          <w:tcPr>
            <w:tcW w:w="17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169.72</w:t>
            </w:r>
          </w:p>
        </w:tc>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仿宋" w:cs="Times New Roman"/>
                <w:color w:val="auto"/>
                <w:kern w:val="0"/>
                <w:sz w:val="22"/>
                <w:szCs w:val="22"/>
                <w:highlight w:val="none"/>
                <w:lang w:val="en-US" w:eastAsia="zh-CN"/>
              </w:rPr>
            </w:pPr>
            <w:r>
              <w:rPr>
                <w:rFonts w:hint="eastAsia" w:ascii="Times New Roman" w:hAnsi="Times New Roman" w:eastAsia="仿宋" w:cs="Times New Roman"/>
                <w:color w:val="auto"/>
                <w:kern w:val="0"/>
                <w:sz w:val="22"/>
                <w:szCs w:val="22"/>
                <w:highlight w:val="none"/>
                <w:lang w:val="en-US" w:eastAsia="zh-CN"/>
              </w:rPr>
              <w:t>59.413～63.297m</w:t>
            </w:r>
          </w:p>
        </w:tc>
      </w:tr>
    </w:tbl>
    <w:p>
      <w:pPr>
        <w:rPr>
          <w:rFonts w:hint="eastAsia" w:ascii="仿宋" w:hAnsi="仿宋" w:eastAsia="仿宋"/>
          <w:color w:val="auto"/>
          <w:kern w:val="0"/>
          <w:sz w:val="28"/>
          <w:szCs w:val="28"/>
          <w:highlight w:val="none"/>
          <w:lang w:val="en-US" w:eastAsia="zh-CN" w:bidi="ar-SA"/>
        </w:rPr>
      </w:pPr>
      <w:r>
        <w:rPr>
          <w:rFonts w:hint="eastAsia" w:ascii="仿宋" w:hAnsi="仿宋" w:eastAsia="仿宋"/>
          <w:color w:val="auto"/>
          <w:kern w:val="0"/>
          <w:sz w:val="28"/>
          <w:szCs w:val="28"/>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4724400" cy="500062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4724400" cy="5000625"/>
                    </a:xfrm>
                    <a:prstGeom prst="rect">
                      <a:avLst/>
                    </a:prstGeom>
                    <a:noFill/>
                    <a:ln>
                      <a:noFill/>
                    </a:ln>
                  </pic:spPr>
                </pic:pic>
              </a:graphicData>
            </a:graphic>
          </wp:inline>
        </w:drawing>
      </w:r>
    </w:p>
    <w:p>
      <w:pPr>
        <w:pStyle w:val="2"/>
        <w:jc w:val="center"/>
      </w:pPr>
      <w:r>
        <w:rPr>
          <w:rFonts w:hint="eastAsia" w:ascii="仿宋" w:hAnsi="仿宋" w:eastAsia="仿宋"/>
          <w:color w:val="auto"/>
          <w:kern w:val="0"/>
          <w:sz w:val="28"/>
          <w:szCs w:val="28"/>
          <w:highlight w:val="none"/>
          <w:lang w:val="en-US" w:eastAsia="zh-CN" w:bidi="ar-SA"/>
        </w:rPr>
        <w:t>图2 龙山五路（新荷大道-塘横大道）市政工程拟建位置</w:t>
      </w:r>
    </w:p>
    <w:p>
      <w:pPr>
        <w:pStyle w:val="4"/>
        <w:numPr>
          <w:ilvl w:val="0"/>
          <w:numId w:val="2"/>
        </w:numPr>
        <w:bidi w:val="0"/>
        <w:rPr>
          <w:rFonts w:hint="eastAsia"/>
          <w:color w:val="auto"/>
          <w:lang w:eastAsia="zh-CN"/>
        </w:rPr>
      </w:pPr>
      <w:r>
        <w:rPr>
          <w:rFonts w:hint="eastAsia"/>
          <w:color w:val="auto"/>
          <w:lang w:eastAsia="zh-CN"/>
        </w:rPr>
        <w:t>拟销售砂石资源类型及储量</w:t>
      </w:r>
    </w:p>
    <w:p>
      <w:pPr>
        <w:bidi w:val="0"/>
        <w:rPr>
          <w:rFonts w:hint="eastAsia"/>
          <w:color w:val="auto"/>
          <w:lang w:eastAsia="zh-CN"/>
        </w:rPr>
      </w:pPr>
      <w:r>
        <w:rPr>
          <w:rFonts w:hint="eastAsia"/>
          <w:color w:val="auto"/>
          <w:lang w:eastAsia="zh-CN"/>
        </w:rPr>
        <w:t>破碎中风化凝灰质砂岩、中风化凝灰质砂岩、微风化凝灰质砂岩；预计</w:t>
      </w:r>
      <w:r>
        <w:rPr>
          <w:rFonts w:hint="eastAsia"/>
          <w:color w:val="auto"/>
          <w:lang w:val="en-US" w:eastAsia="zh-CN"/>
        </w:rPr>
        <w:t>建设工程自用外</w:t>
      </w:r>
      <w:r>
        <w:rPr>
          <w:rFonts w:hint="eastAsia"/>
          <w:color w:val="auto"/>
          <w:lang w:eastAsia="zh-CN"/>
        </w:rPr>
        <w:t>可销售砂石资源总量约为</w:t>
      </w:r>
      <w:r>
        <w:rPr>
          <w:rFonts w:hint="eastAsia"/>
          <w:color w:val="auto"/>
          <w:lang w:val="en-US" w:eastAsia="zh-CN"/>
        </w:rPr>
        <w:t>50.87</w:t>
      </w:r>
      <w:r>
        <w:rPr>
          <w:rFonts w:hint="eastAsia"/>
          <w:color w:val="auto"/>
          <w:lang w:eastAsia="zh-CN"/>
        </w:rPr>
        <w:t>万m³，见表3。（注：</w:t>
      </w:r>
      <w:r>
        <w:rPr>
          <w:rFonts w:hint="eastAsia"/>
          <w:color w:val="auto"/>
          <w:lang w:val="en-US" w:eastAsia="zh-CN"/>
        </w:rPr>
        <w:t>本方案</w:t>
      </w:r>
      <w:r>
        <w:rPr>
          <w:rFonts w:hint="eastAsia"/>
          <w:color w:val="auto"/>
          <w:lang w:eastAsia="zh-CN"/>
        </w:rPr>
        <w:t>所载的拟销售建设工程砂石资源总量为设计工程量，本次拟销售建设工程砂石资源总量及类别最终以工程项目现场实际开挖工程量为准，实际开挖工程量超过</w:t>
      </w:r>
      <w:r>
        <w:rPr>
          <w:rFonts w:hint="eastAsia"/>
          <w:color w:val="auto"/>
          <w:lang w:val="en-US" w:eastAsia="zh-CN"/>
        </w:rPr>
        <w:t>本方案</w:t>
      </w:r>
      <w:r>
        <w:rPr>
          <w:rFonts w:hint="eastAsia"/>
          <w:color w:val="auto"/>
          <w:lang w:eastAsia="zh-CN"/>
        </w:rPr>
        <w:t>所载拟销售砂石资源的部分不在本次挂牌销售范围内。）</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olor w:val="auto"/>
          <w:kern w:val="0"/>
          <w:sz w:val="28"/>
          <w:szCs w:val="28"/>
          <w:highlight w:val="none"/>
          <w:lang w:val="en-US" w:eastAsia="zh-CN" w:bidi="ar-SA"/>
        </w:rPr>
      </w:pPr>
      <w:r>
        <w:rPr>
          <w:rFonts w:hint="eastAsia" w:ascii="仿宋" w:hAnsi="仿宋" w:eastAsia="仿宋"/>
          <w:color w:val="auto"/>
          <w:kern w:val="0"/>
          <w:sz w:val="28"/>
          <w:szCs w:val="28"/>
          <w:highlight w:val="none"/>
          <w:lang w:val="en-US" w:eastAsia="zh-CN" w:bidi="ar-SA"/>
        </w:rPr>
        <w:t>表3 拟销售砂石资源类型及方量表</w:t>
      </w:r>
    </w:p>
    <w:tbl>
      <w:tblPr>
        <w:tblStyle w:val="8"/>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637"/>
        <w:gridCol w:w="1333"/>
        <w:gridCol w:w="1165"/>
        <w:gridCol w:w="1314"/>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项目</w:t>
            </w:r>
          </w:p>
        </w:tc>
        <w:tc>
          <w:tcPr>
            <w:tcW w:w="2637"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类别</w:t>
            </w:r>
          </w:p>
        </w:tc>
        <w:tc>
          <w:tcPr>
            <w:tcW w:w="1333"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4"/>
                <w:highlight w:val="none"/>
                <w:lang w:val="en-US" w:eastAsia="zh-CN"/>
              </w:rPr>
            </w:pPr>
            <w:r>
              <w:rPr>
                <w:rFonts w:hint="default" w:ascii="Times New Roman" w:hAnsi="Times New Roman" w:eastAsia="仿宋" w:cs="Times New Roman"/>
                <w:color w:val="auto"/>
                <w:kern w:val="0"/>
                <w:sz w:val="24"/>
                <w:highlight w:val="none"/>
                <w:lang w:val="en-US" w:eastAsia="zh-CN"/>
              </w:rPr>
              <w:t>数量（m³）</w:t>
            </w:r>
          </w:p>
        </w:tc>
        <w:tc>
          <w:tcPr>
            <w:tcW w:w="116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占比</w:t>
            </w: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default" w:ascii="Times New Roman" w:hAnsi="Times New Roman" w:eastAsia="仿宋" w:cs="Times New Roman"/>
                <w:color w:val="auto"/>
                <w:kern w:val="0"/>
                <w:sz w:val="24"/>
                <w:highlight w:val="none"/>
                <w:lang w:val="en-US" w:eastAsia="zh-CN"/>
              </w:rPr>
              <w:t>总量（m³）</w:t>
            </w: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龙山四路</w:t>
            </w: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破碎中风化凝灰质砂岩</w:t>
            </w:r>
          </w:p>
        </w:tc>
        <w:tc>
          <w:tcPr>
            <w:tcW w:w="1333"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67946.08</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13.36%</w:t>
            </w:r>
          </w:p>
        </w:tc>
        <w:tc>
          <w:tcPr>
            <w:tcW w:w="1314" w:type="dxa"/>
            <w:vMerge w:val="restart"/>
            <w:noWrap w:val="0"/>
            <w:vAlign w:val="center"/>
          </w:tcPr>
          <w:p>
            <w:pPr>
              <w:keepNext w:val="0"/>
              <w:keepLines w:val="0"/>
              <w:widowControl/>
              <w:suppressLineNumbers w:val="0"/>
              <w:ind w:left="0" w:leftChars="0" w:firstLine="0" w:firstLineChars="0"/>
              <w:jc w:val="both"/>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128274.32</w:t>
            </w: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较软岩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中风化凝灰质砂岩</w:t>
            </w:r>
          </w:p>
        </w:tc>
        <w:tc>
          <w:tcPr>
            <w:tcW w:w="1333"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58780.75</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11.55%</w:t>
            </w:r>
          </w:p>
        </w:tc>
        <w:tc>
          <w:tcPr>
            <w:tcW w:w="131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较软岩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微风化凝灰质砂岩</w:t>
            </w:r>
          </w:p>
        </w:tc>
        <w:tc>
          <w:tcPr>
            <w:tcW w:w="1333"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1547.49</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0.30%</w:t>
            </w:r>
          </w:p>
        </w:tc>
        <w:tc>
          <w:tcPr>
            <w:tcW w:w="131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较硬岩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龙山五路</w:t>
            </w: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破碎中风化凝灰质砂岩</w:t>
            </w:r>
          </w:p>
        </w:tc>
        <w:tc>
          <w:tcPr>
            <w:tcW w:w="1333"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195321.95</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38.39%</w:t>
            </w:r>
          </w:p>
        </w:tc>
        <w:tc>
          <w:tcPr>
            <w:tcW w:w="1314" w:type="dxa"/>
            <w:vMerge w:val="restart"/>
            <w:noWrap w:val="0"/>
            <w:vAlign w:val="center"/>
          </w:tcPr>
          <w:p>
            <w:pPr>
              <w:keepNext w:val="0"/>
              <w:keepLines w:val="0"/>
              <w:widowControl/>
              <w:suppressLineNumbers w:val="0"/>
              <w:ind w:left="0" w:leftChars="0" w:firstLine="0" w:firstLineChars="0"/>
              <w:jc w:val="both"/>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380484.12</w:t>
            </w: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破碎中风化凝灰质砂岩</w:t>
            </w:r>
          </w:p>
        </w:tc>
        <w:tc>
          <w:tcPr>
            <w:tcW w:w="1333"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48846.32</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9.60%</w:t>
            </w:r>
          </w:p>
        </w:tc>
        <w:tc>
          <w:tcPr>
            <w:tcW w:w="131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较软岩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中风化凝灰质砂岩</w:t>
            </w:r>
          </w:p>
        </w:tc>
        <w:tc>
          <w:tcPr>
            <w:tcW w:w="1333"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107577.88</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宋体" w:cs="Times New Roman"/>
                <w:i w:val="0"/>
                <w:color w:val="000000"/>
                <w:kern w:val="0"/>
                <w:sz w:val="22"/>
                <w:szCs w:val="22"/>
                <w:u w:val="none"/>
                <w:lang w:val="en-US" w:eastAsia="zh-CN" w:bidi="ar"/>
              </w:rPr>
              <w:t>21.15%</w:t>
            </w:r>
          </w:p>
        </w:tc>
        <w:tc>
          <w:tcPr>
            <w:tcW w:w="131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较软岩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p>
        </w:tc>
        <w:tc>
          <w:tcPr>
            <w:tcW w:w="2637"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微风化凝灰质砂岩</w:t>
            </w:r>
          </w:p>
        </w:tc>
        <w:tc>
          <w:tcPr>
            <w:tcW w:w="1333"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28737.97</w:t>
            </w:r>
          </w:p>
        </w:tc>
        <w:tc>
          <w:tcPr>
            <w:tcW w:w="1165"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auto"/>
                <w:kern w:val="0"/>
                <w:sz w:val="22"/>
                <w:szCs w:val="22"/>
                <w:u w:val="none"/>
                <w:lang w:val="en-US" w:eastAsia="zh-CN" w:bidi="ar"/>
              </w:rPr>
            </w:pPr>
            <w:r>
              <w:rPr>
                <w:rFonts w:hint="default" w:ascii="Times New Roman" w:hAnsi="Times New Roman" w:eastAsia="宋体" w:cs="Times New Roman"/>
                <w:i w:val="0"/>
                <w:color w:val="000000"/>
                <w:kern w:val="0"/>
                <w:sz w:val="22"/>
                <w:szCs w:val="22"/>
                <w:u w:val="none"/>
                <w:lang w:val="en-US" w:eastAsia="zh-CN" w:bidi="ar"/>
              </w:rPr>
              <w:t>5.65%</w:t>
            </w:r>
          </w:p>
        </w:tc>
        <w:tc>
          <w:tcPr>
            <w:tcW w:w="131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p>
        </w:tc>
        <w:tc>
          <w:tcPr>
            <w:tcW w:w="131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eastAsia="仿宋" w:cs="Times New Roman"/>
                <w:color w:val="auto"/>
                <w:kern w:val="0"/>
                <w:sz w:val="22"/>
                <w:szCs w:val="22"/>
                <w:highlight w:val="none"/>
                <w:lang w:val="en-US" w:eastAsia="zh-CN"/>
              </w:rPr>
            </w:pPr>
            <w:r>
              <w:rPr>
                <w:rFonts w:hint="eastAsia" w:eastAsia="仿宋" w:cs="Times New Roman"/>
                <w:color w:val="auto"/>
                <w:kern w:val="0"/>
                <w:sz w:val="22"/>
                <w:szCs w:val="22"/>
                <w:highlight w:val="none"/>
                <w:lang w:val="en-US" w:eastAsia="zh-CN"/>
              </w:rPr>
              <w:t>较硬岩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3903" w:type="dxa"/>
            <w:gridSpan w:val="2"/>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合计（m³）</w:t>
            </w:r>
          </w:p>
        </w:tc>
        <w:tc>
          <w:tcPr>
            <w:tcW w:w="1333" w:type="dxa"/>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508758.44</w:t>
            </w:r>
          </w:p>
        </w:tc>
        <w:tc>
          <w:tcPr>
            <w:tcW w:w="116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100%</w:t>
            </w:r>
          </w:p>
        </w:tc>
        <w:tc>
          <w:tcPr>
            <w:tcW w:w="13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仿宋" w:cs="Times New Roman"/>
                <w:color w:val="auto"/>
                <w:kern w:val="0"/>
                <w:sz w:val="22"/>
                <w:szCs w:val="22"/>
                <w:highlight w:val="none"/>
                <w:lang w:val="en-US" w:eastAsia="zh-CN"/>
              </w:rPr>
            </w:pPr>
            <w:r>
              <w:rPr>
                <w:rFonts w:hint="default" w:ascii="Times New Roman" w:hAnsi="Times New Roman" w:eastAsia="仿宋" w:cs="Times New Roman"/>
                <w:color w:val="auto"/>
                <w:kern w:val="0"/>
                <w:sz w:val="22"/>
                <w:szCs w:val="22"/>
                <w:highlight w:val="none"/>
                <w:lang w:val="en-US" w:eastAsia="zh-CN"/>
              </w:rPr>
              <w:t>508758.44</w:t>
            </w:r>
          </w:p>
        </w:tc>
        <w:tc>
          <w:tcPr>
            <w:tcW w:w="13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color w:val="auto"/>
                <w:kern w:val="0"/>
                <w:sz w:val="22"/>
                <w:szCs w:val="22"/>
                <w:u w:val="none"/>
                <w:lang w:val="en-US" w:eastAsia="zh-CN" w:bidi="ar"/>
              </w:rPr>
            </w:pPr>
          </w:p>
        </w:tc>
      </w:tr>
    </w:tbl>
    <w:p>
      <w:pPr>
        <w:pStyle w:val="4"/>
        <w:numPr>
          <w:ilvl w:val="0"/>
          <w:numId w:val="2"/>
        </w:numPr>
        <w:bidi w:val="0"/>
        <w:rPr>
          <w:rFonts w:hint="eastAsia"/>
          <w:color w:val="auto"/>
          <w:lang w:eastAsia="zh-CN"/>
        </w:rPr>
      </w:pPr>
      <w:r>
        <w:rPr>
          <w:rFonts w:hint="eastAsia"/>
          <w:color w:val="auto"/>
          <w:lang w:eastAsia="zh-CN"/>
        </w:rPr>
        <w:t>建设工程时间</w:t>
      </w:r>
    </w:p>
    <w:p>
      <w:pPr>
        <w:bidi w:val="0"/>
        <w:rPr>
          <w:rFonts w:hint="eastAsia"/>
          <w:color w:val="auto"/>
          <w:lang w:eastAsia="zh-CN"/>
        </w:rPr>
      </w:pPr>
      <w:r>
        <w:rPr>
          <w:rFonts w:hint="eastAsia"/>
          <w:color w:val="auto"/>
          <w:lang w:eastAsia="zh-CN"/>
        </w:rPr>
        <w:t>1年半（18个月）。</w:t>
      </w:r>
    </w:p>
    <w:p>
      <w:pPr>
        <w:pStyle w:val="3"/>
        <w:bidi w:val="0"/>
        <w:rPr>
          <w:rFonts w:hint="eastAsia"/>
          <w:color w:val="auto"/>
          <w:lang w:eastAsia="zh-CN"/>
        </w:rPr>
      </w:pPr>
      <w:r>
        <w:rPr>
          <w:rFonts w:hint="eastAsia"/>
          <w:color w:val="auto"/>
          <w:lang w:eastAsia="zh-CN"/>
        </w:rPr>
        <w:t>二、销售方式及遵循原则</w:t>
      </w:r>
    </w:p>
    <w:p>
      <w:pPr>
        <w:pStyle w:val="4"/>
        <w:bidi w:val="0"/>
        <w:rPr>
          <w:rFonts w:hint="eastAsia"/>
          <w:color w:val="auto"/>
          <w:lang w:eastAsia="zh-CN"/>
        </w:rPr>
      </w:pPr>
      <w:r>
        <w:rPr>
          <w:rFonts w:hint="eastAsia"/>
          <w:color w:val="auto"/>
          <w:lang w:eastAsia="zh-CN"/>
        </w:rPr>
        <w:t>（一）销售方式</w:t>
      </w:r>
    </w:p>
    <w:p>
      <w:pPr>
        <w:bidi w:val="0"/>
        <w:rPr>
          <w:rFonts w:hint="eastAsia"/>
          <w:color w:val="auto"/>
          <w:lang w:eastAsia="zh-CN"/>
        </w:rPr>
      </w:pPr>
      <w:r>
        <w:rPr>
          <w:rFonts w:hint="eastAsia"/>
          <w:color w:val="auto"/>
          <w:lang w:eastAsia="zh-CN"/>
        </w:rPr>
        <w:t>惠州市公共资源交易中心大亚湾分中心公开挂牌方式</w:t>
      </w:r>
    </w:p>
    <w:p>
      <w:pPr>
        <w:pStyle w:val="4"/>
        <w:numPr>
          <w:ilvl w:val="0"/>
          <w:numId w:val="3"/>
        </w:numPr>
        <w:bidi w:val="0"/>
        <w:rPr>
          <w:rFonts w:hint="eastAsia"/>
          <w:color w:val="auto"/>
          <w:lang w:eastAsia="zh-CN"/>
        </w:rPr>
      </w:pPr>
      <w:r>
        <w:rPr>
          <w:rFonts w:hint="eastAsia"/>
          <w:color w:val="auto"/>
          <w:lang w:eastAsia="zh-CN"/>
        </w:rPr>
        <w:t>遵循原则</w:t>
      </w:r>
    </w:p>
    <w:p>
      <w:pPr>
        <w:bidi w:val="0"/>
        <w:rPr>
          <w:rFonts w:hint="eastAsia"/>
          <w:color w:val="auto"/>
          <w:lang w:eastAsia="zh-CN"/>
        </w:rPr>
      </w:pPr>
      <w:r>
        <w:rPr>
          <w:rFonts w:hint="eastAsia"/>
          <w:color w:val="auto"/>
          <w:lang w:eastAsia="zh-CN"/>
        </w:rPr>
        <w:t>公开、公平、公正、诚实信用原则；以出价最高者为竞得人的原则。</w:t>
      </w:r>
    </w:p>
    <w:p>
      <w:pPr>
        <w:pStyle w:val="3"/>
        <w:bidi w:val="0"/>
        <w:rPr>
          <w:rFonts w:hint="eastAsia"/>
          <w:color w:val="auto"/>
          <w:lang w:eastAsia="zh-CN"/>
        </w:rPr>
      </w:pPr>
      <w:r>
        <w:rPr>
          <w:rFonts w:hint="eastAsia"/>
          <w:color w:val="auto"/>
          <w:lang w:eastAsia="zh-CN"/>
        </w:rPr>
        <w:t>三、挂牌起始价和增价幅度</w:t>
      </w:r>
    </w:p>
    <w:p>
      <w:pPr>
        <w:bidi w:val="0"/>
        <w:rPr>
          <w:rFonts w:hint="eastAsia"/>
          <w:color w:val="auto"/>
          <w:lang w:eastAsia="zh-CN"/>
        </w:rPr>
      </w:pPr>
      <w:r>
        <w:rPr>
          <w:rFonts w:hint="eastAsia"/>
          <w:color w:val="auto"/>
          <w:lang w:eastAsia="zh-CN"/>
        </w:rPr>
        <w:t>（一）本次砂石资源网上挂牌销售起始价为868.09万元，增加幅度10万元/次或其整数倍。</w:t>
      </w:r>
    </w:p>
    <w:p>
      <w:pPr>
        <w:bidi w:val="0"/>
        <w:rPr>
          <w:rFonts w:hint="eastAsia"/>
          <w:color w:val="auto"/>
          <w:lang w:eastAsia="zh-CN"/>
        </w:rPr>
      </w:pPr>
      <w:r>
        <w:rPr>
          <w:rFonts w:hint="eastAsia"/>
          <w:color w:val="auto"/>
          <w:lang w:eastAsia="zh-CN"/>
        </w:rPr>
        <w:t>（</w:t>
      </w:r>
      <w:r>
        <w:rPr>
          <w:rFonts w:hint="eastAsia"/>
          <w:color w:val="auto"/>
          <w:lang w:val="en-US" w:eastAsia="zh-CN"/>
        </w:rPr>
        <w:t>二</w:t>
      </w:r>
      <w:r>
        <w:rPr>
          <w:rFonts w:hint="eastAsia"/>
          <w:color w:val="auto"/>
          <w:lang w:eastAsia="zh-CN"/>
        </w:rPr>
        <w:t>）本次砂石资源网上公开挂牌销售按照价高者得的原则确定竞得人。挂牌报价时间截止时，经系统询问，如竞买人表示愿意继续竞价的，系统自动进入网上限时竞价程序，通过竞价确定竞得人。</w:t>
      </w:r>
    </w:p>
    <w:p>
      <w:pPr>
        <w:pStyle w:val="3"/>
        <w:bidi w:val="0"/>
        <w:rPr>
          <w:rFonts w:hint="eastAsia"/>
          <w:color w:val="auto"/>
          <w:lang w:eastAsia="zh-CN"/>
        </w:rPr>
      </w:pPr>
      <w:r>
        <w:rPr>
          <w:rFonts w:hint="eastAsia"/>
          <w:color w:val="auto"/>
          <w:lang w:eastAsia="zh-CN"/>
        </w:rPr>
        <w:t>四、竞买申请人的资格及要求</w:t>
      </w:r>
    </w:p>
    <w:p>
      <w:pPr>
        <w:bidi w:val="0"/>
        <w:rPr>
          <w:rFonts w:hint="eastAsia"/>
          <w:color w:val="auto"/>
          <w:lang w:eastAsia="zh-CN"/>
        </w:rPr>
      </w:pPr>
      <w:r>
        <w:rPr>
          <w:rFonts w:hint="eastAsia"/>
          <w:color w:val="auto"/>
          <w:lang w:eastAsia="zh-CN"/>
        </w:rPr>
        <w:t>（一）中华人民共和国境内的企业单位或组织（除法律法规另有规定外）均可参加本次砂石资源网上挂牌销售活动。</w:t>
      </w:r>
    </w:p>
    <w:p>
      <w:pPr>
        <w:bidi w:val="0"/>
        <w:rPr>
          <w:rFonts w:hint="eastAsia"/>
          <w:color w:val="auto"/>
          <w:lang w:eastAsia="zh-CN"/>
        </w:rPr>
      </w:pPr>
      <w:r>
        <w:rPr>
          <w:rFonts w:hint="eastAsia"/>
          <w:color w:val="auto"/>
          <w:lang w:eastAsia="zh-CN"/>
        </w:rPr>
        <w:t>（二）本次网上公开挂牌销售活动不接受联合竞买申请，不接受口头、电话、传真、邮寄等形式的竞买申请。</w:t>
      </w:r>
    </w:p>
    <w:p>
      <w:pPr>
        <w:bidi w:val="0"/>
        <w:rPr>
          <w:rFonts w:hint="eastAsia"/>
          <w:color w:val="auto"/>
          <w:lang w:eastAsia="zh-CN"/>
        </w:rPr>
      </w:pPr>
      <w:r>
        <w:rPr>
          <w:rFonts w:hint="eastAsia"/>
          <w:color w:val="auto"/>
          <w:lang w:eastAsia="zh-CN"/>
        </w:rPr>
        <w:t>（三）竞买人必须交纳竞买保证金人民币</w:t>
      </w:r>
      <w:r>
        <w:rPr>
          <w:rFonts w:hint="eastAsia"/>
          <w:color w:val="auto"/>
          <w:lang w:val="en-US" w:eastAsia="zh-CN"/>
        </w:rPr>
        <w:t>5</w:t>
      </w:r>
      <w:r>
        <w:rPr>
          <w:rFonts w:hint="eastAsia"/>
          <w:color w:val="auto"/>
          <w:lang w:eastAsia="zh-CN"/>
        </w:rPr>
        <w:t>0万元。</w:t>
      </w:r>
    </w:p>
    <w:p>
      <w:pPr>
        <w:bidi w:val="0"/>
        <w:rPr>
          <w:rFonts w:hint="eastAsia"/>
          <w:color w:val="auto"/>
          <w:lang w:eastAsia="zh-CN"/>
        </w:rPr>
      </w:pPr>
      <w:r>
        <w:rPr>
          <w:rFonts w:hint="eastAsia"/>
          <w:color w:val="auto"/>
          <w:lang w:eastAsia="zh-CN"/>
        </w:rPr>
        <w:t>（四）本次砂石资源网上公开挂牌销售活动只能在互联网上进行，通过公共资源交易中心系统（以下简称“交易系统”）进行。只有通过办理数字证书、按要求足额交纳竞买保证金的申请人，才能参加网上公开挂牌交易活动。</w:t>
      </w:r>
    </w:p>
    <w:p>
      <w:pPr>
        <w:pStyle w:val="3"/>
        <w:bidi w:val="0"/>
        <w:rPr>
          <w:rFonts w:hint="eastAsia"/>
          <w:color w:val="auto"/>
          <w:lang w:eastAsia="zh-CN"/>
        </w:rPr>
      </w:pPr>
      <w:r>
        <w:rPr>
          <w:rFonts w:hint="eastAsia"/>
          <w:color w:val="auto"/>
          <w:lang w:eastAsia="zh-CN"/>
        </w:rPr>
        <w:t>五、价款及有关费用支付方式</w:t>
      </w:r>
    </w:p>
    <w:p>
      <w:pPr>
        <w:pStyle w:val="4"/>
        <w:bidi w:val="0"/>
        <w:rPr>
          <w:rFonts w:hint="eastAsia"/>
          <w:color w:val="auto"/>
          <w:lang w:eastAsia="zh-CN"/>
        </w:rPr>
      </w:pPr>
      <w:r>
        <w:rPr>
          <w:rFonts w:hint="eastAsia"/>
          <w:color w:val="auto"/>
          <w:lang w:eastAsia="zh-CN"/>
        </w:rPr>
        <w:t>（</w:t>
      </w:r>
      <w:r>
        <w:rPr>
          <w:rFonts w:hint="eastAsia"/>
          <w:color w:val="auto"/>
          <w:lang w:val="en-US" w:eastAsia="zh-CN"/>
        </w:rPr>
        <w:t>一</w:t>
      </w:r>
      <w:r>
        <w:rPr>
          <w:rFonts w:hint="eastAsia"/>
          <w:color w:val="auto"/>
          <w:lang w:eastAsia="zh-CN"/>
        </w:rPr>
        <w:t>）砂石资源价款</w:t>
      </w:r>
    </w:p>
    <w:p>
      <w:pPr>
        <w:pStyle w:val="5"/>
        <w:bidi w:val="0"/>
        <w:rPr>
          <w:rFonts w:hint="eastAsia"/>
          <w:color w:val="auto"/>
          <w:lang w:eastAsia="zh-CN"/>
        </w:rPr>
      </w:pPr>
      <w:r>
        <w:rPr>
          <w:rFonts w:hint="eastAsia"/>
          <w:color w:val="auto"/>
          <w:lang w:val="en-US" w:eastAsia="zh-CN"/>
        </w:rPr>
        <w:t>1.</w:t>
      </w:r>
      <w:r>
        <w:rPr>
          <w:rFonts w:hint="eastAsia"/>
          <w:color w:val="auto"/>
          <w:lang w:eastAsia="zh-CN"/>
        </w:rPr>
        <w:t>计算方式</w:t>
      </w:r>
    </w:p>
    <w:p>
      <w:pPr>
        <w:bidi w:val="0"/>
        <w:rPr>
          <w:rFonts w:hint="eastAsia"/>
          <w:color w:val="auto"/>
          <w:lang w:eastAsia="zh-CN"/>
        </w:rPr>
      </w:pPr>
      <w:r>
        <w:rPr>
          <w:rFonts w:hint="eastAsia"/>
          <w:color w:val="auto"/>
          <w:lang w:eastAsia="zh-CN"/>
        </w:rPr>
        <w:t>合同结算价=结算单价*实际开挖工程量。</w:t>
      </w:r>
    </w:p>
    <w:p>
      <w:pPr>
        <w:pStyle w:val="5"/>
        <w:bidi w:val="0"/>
        <w:rPr>
          <w:rFonts w:hint="eastAsia"/>
          <w:color w:val="auto"/>
          <w:lang w:eastAsia="zh-CN"/>
        </w:rPr>
      </w:pPr>
      <w:r>
        <w:rPr>
          <w:rFonts w:hint="eastAsia"/>
          <w:color w:val="auto"/>
          <w:lang w:val="en-US" w:eastAsia="zh-CN"/>
        </w:rPr>
        <w:t>2.</w:t>
      </w:r>
      <w:r>
        <w:rPr>
          <w:rFonts w:hint="eastAsia"/>
          <w:color w:val="auto"/>
          <w:lang w:eastAsia="zh-CN"/>
        </w:rPr>
        <w:t>结算单价</w:t>
      </w:r>
    </w:p>
    <w:p>
      <w:pPr>
        <w:bidi w:val="0"/>
        <w:rPr>
          <w:rFonts w:hint="eastAsia"/>
          <w:color w:val="auto"/>
          <w:lang w:eastAsia="zh-CN"/>
        </w:rPr>
      </w:pPr>
      <w:r>
        <w:rPr>
          <w:rFonts w:hint="eastAsia"/>
          <w:color w:val="auto"/>
          <w:lang w:eastAsia="zh-CN"/>
        </w:rPr>
        <w:t>采用固定单价，参考本次拟销售建设工程砂石资源内容及资产范围，以公开竞价的中标结果为依据，竞价中标后，本项目砂石资源的结算单价=中标价/竞标底价*砂石资源的评估单价（</w:t>
      </w:r>
      <w:r>
        <w:rPr>
          <w:rFonts w:hint="eastAsia"/>
          <w:color w:val="auto"/>
          <w:lang w:val="en-US" w:eastAsia="zh-CN"/>
        </w:rPr>
        <w:t>6.67元/吨</w:t>
      </w:r>
      <w:r>
        <w:rPr>
          <w:rFonts w:hint="eastAsia"/>
          <w:color w:val="auto"/>
          <w:lang w:eastAsia="zh-CN"/>
        </w:rPr>
        <w:t>）。</w:t>
      </w:r>
    </w:p>
    <w:p>
      <w:pPr>
        <w:pStyle w:val="5"/>
        <w:bidi w:val="0"/>
        <w:rPr>
          <w:rFonts w:hint="eastAsia"/>
          <w:color w:val="auto"/>
          <w:lang w:eastAsia="zh-CN"/>
        </w:rPr>
      </w:pPr>
      <w:r>
        <w:rPr>
          <w:rFonts w:hint="eastAsia"/>
          <w:color w:val="auto"/>
          <w:lang w:val="en-US" w:eastAsia="zh-CN"/>
        </w:rPr>
        <w:t>3.</w:t>
      </w:r>
      <w:r>
        <w:rPr>
          <w:rFonts w:hint="eastAsia"/>
          <w:color w:val="auto"/>
          <w:lang w:eastAsia="zh-CN"/>
        </w:rPr>
        <w:t>实际开挖工程量</w:t>
      </w:r>
    </w:p>
    <w:p>
      <w:pPr>
        <w:bidi w:val="0"/>
        <w:rPr>
          <w:rFonts w:hint="eastAsia"/>
          <w:color w:val="auto"/>
          <w:lang w:eastAsia="zh-CN"/>
        </w:rPr>
      </w:pPr>
      <w:r>
        <w:rPr>
          <w:rFonts w:hint="eastAsia"/>
          <w:color w:val="auto"/>
          <w:lang w:eastAsia="zh-CN"/>
        </w:rPr>
        <w:t>由销售方、竞得人、惠州大亚湾经济技术开发区城乡建设和综合执法局、各项目施工单位及监理单位根据施工过程中实际剩余砂石过磅重量予以确定。</w:t>
      </w:r>
    </w:p>
    <w:p>
      <w:pPr>
        <w:pStyle w:val="5"/>
        <w:bidi w:val="0"/>
        <w:rPr>
          <w:rFonts w:hint="eastAsia"/>
          <w:color w:val="auto"/>
          <w:lang w:eastAsia="zh-CN"/>
        </w:rPr>
      </w:pPr>
      <w:r>
        <w:rPr>
          <w:rFonts w:hint="eastAsia"/>
          <w:color w:val="auto"/>
          <w:lang w:val="en-US" w:eastAsia="zh-CN"/>
        </w:rPr>
        <w:t>4.</w:t>
      </w:r>
      <w:r>
        <w:rPr>
          <w:rFonts w:hint="eastAsia"/>
          <w:color w:val="auto"/>
          <w:lang w:eastAsia="zh-CN"/>
        </w:rPr>
        <w:t>支付期限</w:t>
      </w:r>
    </w:p>
    <w:p>
      <w:pPr>
        <w:bidi w:val="0"/>
        <w:rPr>
          <w:rFonts w:hint="eastAsia"/>
          <w:color w:val="auto"/>
          <w:lang w:eastAsia="zh-CN"/>
        </w:rPr>
      </w:pPr>
      <w:r>
        <w:rPr>
          <w:rFonts w:hint="eastAsia"/>
          <w:color w:val="auto"/>
          <w:lang w:eastAsia="zh-CN"/>
        </w:rPr>
        <w:t>砂石资源销售款按季度结算，销售方在每季度前5个工作日内完成对上一季度砂石资源价款核算并开具缴款通知书，竞得人在收到缴款通知书3个工作日内一次性向指定账户付清应缴砂石资源销售款。</w:t>
      </w:r>
    </w:p>
    <w:p>
      <w:pPr>
        <w:pStyle w:val="4"/>
        <w:bidi w:val="0"/>
        <w:rPr>
          <w:rFonts w:hint="eastAsia"/>
          <w:color w:val="auto"/>
          <w:lang w:eastAsia="zh-CN"/>
        </w:rPr>
      </w:pPr>
      <w:r>
        <w:rPr>
          <w:rFonts w:hint="eastAsia"/>
          <w:color w:val="auto"/>
          <w:lang w:val="en-US" w:eastAsia="zh-CN"/>
        </w:rPr>
        <w:t>（二）</w:t>
      </w:r>
      <w:r>
        <w:rPr>
          <w:rFonts w:hint="eastAsia"/>
          <w:color w:val="auto"/>
          <w:lang w:eastAsia="zh-CN"/>
        </w:rPr>
        <w:t>前期投入费用</w:t>
      </w:r>
    </w:p>
    <w:p>
      <w:pPr>
        <w:bidi w:val="0"/>
        <w:rPr>
          <w:rFonts w:hint="eastAsia"/>
          <w:color w:val="auto"/>
          <w:lang w:eastAsia="zh-CN"/>
        </w:rPr>
      </w:pPr>
      <w:r>
        <w:rPr>
          <w:rFonts w:hint="eastAsia"/>
          <w:color w:val="auto"/>
          <w:lang w:eastAsia="zh-CN"/>
        </w:rPr>
        <w:t>挂牌前惠州大亚湾经济技术开发区新兴产业发展中心委托第三方进行了地质勘查和评估报告编制工作，费用总额为人民币壹拾柒万贰仟元整（¥172,000元）：</w:t>
      </w:r>
      <w:r>
        <w:rPr>
          <w:rFonts w:hint="eastAsia"/>
          <w:color w:val="auto"/>
          <w:lang w:val="en-US" w:eastAsia="zh-CN"/>
        </w:rPr>
        <w:t>其中，</w:t>
      </w:r>
      <w:r>
        <w:rPr>
          <w:rFonts w:hint="eastAsia"/>
          <w:color w:val="auto"/>
          <w:lang w:eastAsia="zh-CN"/>
        </w:rPr>
        <w:t>地质勘察服务费总额为人民币壹拾叁万贰仟元整（¥132,000元），评估服务费总额为人民币肆万元整（¥40,000.00元）。列入前期投入，由竞得人在公开挂牌成交结果公示期满后，且第三方开具全额增值税发票7个工作日内一次性支付给</w:t>
      </w:r>
      <w:r>
        <w:rPr>
          <w:rFonts w:hint="eastAsia"/>
          <w:color w:val="auto"/>
          <w:lang w:val="en-US" w:eastAsia="zh-CN"/>
        </w:rPr>
        <w:t>第三</w:t>
      </w:r>
      <w:r>
        <w:rPr>
          <w:rFonts w:hint="eastAsia"/>
          <w:color w:val="auto"/>
          <w:lang w:eastAsia="zh-CN"/>
        </w:rPr>
        <w:t>方。</w:t>
      </w:r>
    </w:p>
    <w:p>
      <w:pPr>
        <w:pStyle w:val="4"/>
        <w:bidi w:val="0"/>
        <w:rPr>
          <w:rFonts w:hint="default"/>
          <w:color w:val="auto"/>
          <w:lang w:val="en-US" w:eastAsia="zh-CN"/>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lang w:val="en-US" w:eastAsia="zh-CN"/>
        </w:rPr>
        <w:t>相关税费</w:t>
      </w:r>
    </w:p>
    <w:p>
      <w:pPr>
        <w:bidi w:val="0"/>
        <w:rPr>
          <w:rFonts w:hint="eastAsia"/>
          <w:color w:val="auto"/>
          <w:lang w:eastAsia="zh-CN"/>
        </w:rPr>
      </w:pPr>
      <w:r>
        <w:rPr>
          <w:rFonts w:hint="eastAsia"/>
          <w:color w:val="auto"/>
          <w:lang w:eastAsia="zh-CN"/>
        </w:rPr>
        <w:t>竞得人承担全部相关税费、费用。</w:t>
      </w:r>
    </w:p>
    <w:p>
      <w:pPr>
        <w:pStyle w:val="3"/>
        <w:bidi w:val="0"/>
        <w:rPr>
          <w:rFonts w:hint="eastAsia"/>
          <w:color w:val="auto"/>
          <w:lang w:eastAsia="zh-CN"/>
        </w:rPr>
      </w:pPr>
      <w:r>
        <w:rPr>
          <w:rFonts w:hint="eastAsia"/>
          <w:color w:val="auto"/>
          <w:lang w:eastAsia="zh-CN"/>
        </w:rPr>
        <w:t>六、其他事项</w:t>
      </w:r>
    </w:p>
    <w:p>
      <w:pPr>
        <w:bidi w:val="0"/>
        <w:rPr>
          <w:rFonts w:hint="eastAsia"/>
          <w:color w:val="auto"/>
          <w:lang w:eastAsia="zh-CN"/>
        </w:rPr>
      </w:pPr>
      <w:r>
        <w:rPr>
          <w:rFonts w:hint="eastAsia"/>
          <w:color w:val="auto"/>
          <w:lang w:eastAsia="zh-CN"/>
        </w:rPr>
        <w:t>（</w:t>
      </w:r>
      <w:r>
        <w:rPr>
          <w:rFonts w:hint="eastAsia"/>
          <w:color w:val="auto"/>
          <w:lang w:val="en-US" w:eastAsia="zh-CN"/>
        </w:rPr>
        <w:t>一</w:t>
      </w:r>
      <w:r>
        <w:rPr>
          <w:rFonts w:hint="eastAsia"/>
          <w:color w:val="auto"/>
          <w:lang w:eastAsia="zh-CN"/>
        </w:rPr>
        <w:t>）有意竞买者可以自行到相关建设工程项目现场踏勘（可在网上挂牌交易系统查阅位置图和现状图）。</w:t>
      </w:r>
    </w:p>
    <w:p>
      <w:pPr>
        <w:bidi w:val="0"/>
        <w:rPr>
          <w:rFonts w:hint="eastAsia"/>
          <w:color w:val="auto"/>
          <w:lang w:eastAsia="zh-CN"/>
        </w:rPr>
      </w:pPr>
      <w:r>
        <w:rPr>
          <w:rFonts w:hint="eastAsia"/>
          <w:color w:val="auto"/>
          <w:lang w:eastAsia="zh-CN"/>
        </w:rPr>
        <w:t>（</w:t>
      </w:r>
      <w:r>
        <w:rPr>
          <w:rFonts w:hint="eastAsia"/>
          <w:color w:val="auto"/>
          <w:lang w:val="en-US" w:eastAsia="zh-CN"/>
        </w:rPr>
        <w:t>二</w:t>
      </w:r>
      <w:r>
        <w:rPr>
          <w:rFonts w:hint="eastAsia"/>
          <w:color w:val="auto"/>
          <w:lang w:eastAsia="zh-CN"/>
        </w:rPr>
        <w:t>）申请人应当在网上挂牌保证金到账截止时间结束前登陆网上挂牌交易系统提交竞买申请并支付保证金。网上挂牌报价时间截止时，经系统询问，有竞买人表示愿意继续竞价的，系统自动进入网上限时竞价程序，通过竞价确定竞得人。</w:t>
      </w:r>
    </w:p>
    <w:p>
      <w:pPr>
        <w:bidi w:val="0"/>
        <w:rPr>
          <w:rFonts w:hint="eastAsia"/>
          <w:color w:val="auto"/>
          <w:lang w:eastAsia="zh-CN"/>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highlight w:val="none"/>
          <w:lang w:eastAsia="zh-CN"/>
        </w:rPr>
        <w:t>竞得人应当在网上挂牌交易成交之日起3个工作日内</w:t>
      </w:r>
      <w:r>
        <w:rPr>
          <w:rFonts w:hint="eastAsia"/>
          <w:color w:val="auto"/>
          <w:highlight w:val="none"/>
          <w:lang w:val="en-US" w:eastAsia="zh-CN"/>
        </w:rPr>
        <w:t>持相关证明材料到交易中心办理《成交通知书》</w:t>
      </w:r>
      <w:r>
        <w:rPr>
          <w:rFonts w:hint="eastAsia"/>
          <w:color w:val="auto"/>
          <w:highlight w:val="none"/>
          <w:lang w:eastAsia="zh-CN"/>
        </w:rPr>
        <w:t>。在</w:t>
      </w:r>
      <w:r>
        <w:rPr>
          <w:rFonts w:hint="eastAsia"/>
          <w:color w:val="auto"/>
          <w:highlight w:val="none"/>
          <w:lang w:val="en-US" w:eastAsia="zh-CN"/>
        </w:rPr>
        <w:t>领取</w:t>
      </w:r>
      <w:r>
        <w:rPr>
          <w:rFonts w:hint="eastAsia"/>
          <w:color w:val="auto"/>
          <w:highlight w:val="none"/>
          <w:lang w:eastAsia="zh-CN"/>
        </w:rPr>
        <w:t>《</w:t>
      </w:r>
      <w:r>
        <w:rPr>
          <w:rFonts w:hint="eastAsia"/>
          <w:color w:val="auto"/>
          <w:highlight w:val="none"/>
          <w:lang w:val="en-US" w:eastAsia="zh-CN"/>
        </w:rPr>
        <w:t>成交通知书</w:t>
      </w:r>
      <w:r>
        <w:rPr>
          <w:rFonts w:hint="eastAsia"/>
          <w:color w:val="auto"/>
          <w:highlight w:val="none"/>
          <w:lang w:eastAsia="zh-CN"/>
        </w:rPr>
        <w:t>》</w:t>
      </w:r>
      <w:r>
        <w:rPr>
          <w:rFonts w:hint="eastAsia"/>
          <w:color w:val="auto"/>
          <w:lang w:eastAsia="zh-CN"/>
        </w:rPr>
        <w:t>后3个工作日内按规定与惠州大亚湾经济技术开发区新兴产业发展中心签订《销售合同》，逾期不办理的视为自动放弃，其履约竞买保证金不予退回，并视为上缴国库。</w:t>
      </w:r>
    </w:p>
    <w:p>
      <w:pPr>
        <w:bidi w:val="0"/>
        <w:rPr>
          <w:rFonts w:hint="eastAsia"/>
          <w:color w:val="auto"/>
          <w:lang w:eastAsia="zh-CN"/>
        </w:rPr>
      </w:pPr>
      <w:r>
        <w:rPr>
          <w:rFonts w:hint="eastAsia"/>
          <w:color w:val="auto"/>
          <w:lang w:eastAsia="zh-CN"/>
        </w:rPr>
        <w:t>（</w:t>
      </w:r>
      <w:r>
        <w:rPr>
          <w:rFonts w:hint="eastAsia"/>
          <w:color w:val="auto"/>
          <w:lang w:val="en-US" w:eastAsia="zh-CN"/>
        </w:rPr>
        <w:t>四</w:t>
      </w:r>
      <w:r>
        <w:rPr>
          <w:rFonts w:hint="eastAsia"/>
          <w:color w:val="auto"/>
          <w:lang w:eastAsia="zh-CN"/>
        </w:rPr>
        <w:t>）龙山四路（塘横大道-新荷大道段）市政工程、龙山五路（新荷大道-塘横大道）市政工程建设场地处于建设施工阶段，施工过程中局部地表表层部分为剥离层，剥离层作为本项目路基回填使用，不得对外销售。</w:t>
      </w:r>
    </w:p>
    <w:p>
      <w:pPr>
        <w:pStyle w:val="3"/>
        <w:bidi w:val="0"/>
        <w:rPr>
          <w:rFonts w:hint="eastAsia"/>
          <w:color w:val="auto"/>
          <w:lang w:eastAsia="zh-CN"/>
        </w:rPr>
      </w:pPr>
      <w:r>
        <w:rPr>
          <w:rFonts w:hint="eastAsia"/>
          <w:color w:val="auto"/>
          <w:lang w:eastAsia="zh-CN"/>
        </w:rPr>
        <w:t>七、建设要求及风险提示</w:t>
      </w:r>
    </w:p>
    <w:p>
      <w:pPr>
        <w:bidi w:val="0"/>
        <w:rPr>
          <w:rFonts w:hint="eastAsia"/>
          <w:color w:val="auto"/>
          <w:lang w:eastAsia="zh-CN"/>
        </w:rPr>
      </w:pPr>
      <w:r>
        <w:rPr>
          <w:rFonts w:hint="eastAsia"/>
          <w:color w:val="auto"/>
          <w:lang w:eastAsia="zh-CN"/>
        </w:rPr>
        <w:t>（</w:t>
      </w:r>
      <w:r>
        <w:rPr>
          <w:rFonts w:hint="eastAsia"/>
          <w:color w:val="auto"/>
          <w:lang w:val="en-US" w:eastAsia="zh-CN"/>
        </w:rPr>
        <w:t>一</w:t>
      </w:r>
      <w:r>
        <w:rPr>
          <w:rFonts w:hint="eastAsia"/>
          <w:color w:val="auto"/>
          <w:lang w:eastAsia="zh-CN"/>
        </w:rPr>
        <w:t>）本次销售所涉及的土地权属及其地上附着物如固定设施、道路、安全距离、卫生防护距离内的房屋、输电线等相关权属的处置，因补偿、拆迁等问题需与周边村镇及群众协商的事宜较多，竞买申请人参与竞买前，需到工程建设场地所在地政府、权益人就用地权益事宜进行实地考察。竞得人因与权益人无法达成协议而导致竞得人无法按期施工和生产，属竞得人自身原因，竞得人自愿承担由此引起的一切风险和损失。</w:t>
      </w:r>
    </w:p>
    <w:p>
      <w:pPr>
        <w:bidi w:val="0"/>
        <w:rPr>
          <w:rFonts w:hint="eastAsia"/>
          <w:color w:val="auto"/>
          <w:lang w:eastAsia="zh-CN"/>
        </w:rPr>
      </w:pPr>
      <w:r>
        <w:rPr>
          <w:rFonts w:hint="eastAsia"/>
          <w:color w:val="auto"/>
          <w:lang w:eastAsia="zh-CN"/>
        </w:rPr>
        <w:t>（</w:t>
      </w:r>
      <w:r>
        <w:rPr>
          <w:rFonts w:hint="eastAsia"/>
          <w:color w:val="auto"/>
          <w:lang w:val="en-US" w:eastAsia="zh-CN"/>
        </w:rPr>
        <w:t>二</w:t>
      </w:r>
      <w:r>
        <w:rPr>
          <w:rFonts w:hint="eastAsia"/>
          <w:color w:val="auto"/>
          <w:lang w:eastAsia="zh-CN"/>
        </w:rPr>
        <w:t>）竞买申请人参与竞买前，建议到建设工程所在地实地考察，应就取得砂石资源后可能因为场地限制等原因导致无法按期生产，甚至造成无偿转交砂石资源的情况发生时，自愿承担由此引起的一切风险和损失。</w:t>
      </w:r>
    </w:p>
    <w:p>
      <w:pPr>
        <w:bidi w:val="0"/>
        <w:rPr>
          <w:rFonts w:hint="default"/>
          <w:color w:val="auto"/>
          <w:lang w:val="en-US" w:eastAsia="zh-CN"/>
        </w:rPr>
      </w:pPr>
      <w:r>
        <w:rPr>
          <w:rFonts w:hint="eastAsia"/>
          <w:color w:val="auto"/>
          <w:lang w:eastAsia="zh-CN"/>
        </w:rPr>
        <w:t>（</w:t>
      </w:r>
      <w:r>
        <w:rPr>
          <w:rFonts w:hint="eastAsia"/>
          <w:color w:val="auto"/>
          <w:lang w:val="en-US" w:eastAsia="zh-CN"/>
        </w:rPr>
        <w:t>三</w:t>
      </w:r>
      <w:r>
        <w:rPr>
          <w:rFonts w:hint="eastAsia"/>
          <w:color w:val="auto"/>
          <w:lang w:eastAsia="zh-CN"/>
        </w:rPr>
        <w:t>）本次挂牌销售的砂石资源，其储量检测报告由具有相应资质的机构出具，但有关的规模、形态、储量、</w:t>
      </w:r>
      <w:r>
        <w:rPr>
          <w:rFonts w:hint="eastAsia"/>
          <w:color w:val="auto"/>
          <w:lang w:val="en-US" w:eastAsia="zh-CN"/>
        </w:rPr>
        <w:t>占比、</w:t>
      </w:r>
      <w:r>
        <w:rPr>
          <w:rFonts w:hint="eastAsia"/>
          <w:color w:val="auto"/>
          <w:lang w:eastAsia="zh-CN"/>
        </w:rPr>
        <w:t>品位等可能与实际有差距，存在不可预见的风险，竞得人竞买成交后必须承担相应的风险。</w:t>
      </w:r>
      <w:r>
        <w:rPr>
          <w:rFonts w:hint="eastAsia"/>
          <w:color w:val="auto"/>
          <w:lang w:val="en-US" w:eastAsia="zh-CN"/>
        </w:rPr>
        <w:t>部分砂石存在混杂土~极软岩情况，竞得人须自行筛分，筛分后的砂石过磅重量计入实际开挖工程量结算；如竞得人不进行筛分，则全部计入实际开挖工程量结算。</w:t>
      </w:r>
    </w:p>
    <w:p>
      <w:pPr>
        <w:bidi w:val="0"/>
        <w:rPr>
          <w:rFonts w:hint="eastAsia"/>
          <w:color w:val="auto"/>
          <w:lang w:eastAsia="zh-CN"/>
        </w:rPr>
      </w:pPr>
      <w:r>
        <w:rPr>
          <w:rFonts w:hint="eastAsia"/>
          <w:color w:val="auto"/>
          <w:lang w:eastAsia="zh-CN"/>
        </w:rPr>
        <w:t>（</w:t>
      </w:r>
      <w:r>
        <w:rPr>
          <w:rFonts w:hint="eastAsia"/>
          <w:color w:val="auto"/>
          <w:lang w:val="en-US" w:eastAsia="zh-CN"/>
        </w:rPr>
        <w:t>四</w:t>
      </w:r>
      <w:r>
        <w:rPr>
          <w:rFonts w:hint="eastAsia"/>
          <w:color w:val="auto"/>
          <w:lang w:eastAsia="zh-CN"/>
        </w:rPr>
        <w:t>）竞买人在参与竞买时应详尽了解本次挂牌销售砂石资源的基本情况和现状，竞买人提交竞买申请即视为认可拟销售砂石资源的基本情况和现状，对本次挂牌销售以及拟销售砂石资源不存在任何异议，并自行承担由此可能存在的砂石资源开发价值、市场价格波动等商业风险和损失。</w:t>
      </w:r>
    </w:p>
    <w:p>
      <w:pPr>
        <w:bidi w:val="0"/>
        <w:rPr>
          <w:rFonts w:hint="eastAsia"/>
          <w:color w:val="auto"/>
          <w:lang w:eastAsia="zh-CN"/>
        </w:rPr>
      </w:pPr>
      <w:r>
        <w:rPr>
          <w:rFonts w:hint="eastAsia"/>
          <w:color w:val="auto"/>
          <w:lang w:eastAsia="zh-CN"/>
        </w:rPr>
        <w:t>（</w:t>
      </w:r>
      <w:r>
        <w:rPr>
          <w:rFonts w:hint="eastAsia"/>
          <w:color w:val="auto"/>
          <w:lang w:val="en-US" w:eastAsia="zh-CN"/>
        </w:rPr>
        <w:t>五</w:t>
      </w:r>
      <w:r>
        <w:rPr>
          <w:rFonts w:hint="eastAsia"/>
          <w:color w:val="auto"/>
          <w:lang w:eastAsia="zh-CN"/>
        </w:rPr>
        <w:t>）砂石资源投资具有投资风险性，存在不可抗力和政策变化，竞买人应充分了解和考虑，慎重决策。充分评估投资风险,一旦竞得、</w:t>
      </w:r>
      <w:r>
        <w:rPr>
          <w:rFonts w:hint="eastAsia"/>
          <w:color w:val="auto"/>
          <w:lang w:val="en-US" w:eastAsia="zh-CN"/>
        </w:rPr>
        <w:t>领取</w:t>
      </w:r>
      <w:r>
        <w:rPr>
          <w:rFonts w:hint="eastAsia"/>
          <w:color w:val="auto"/>
          <w:lang w:eastAsia="zh-CN"/>
        </w:rPr>
        <w:t>《</w:t>
      </w:r>
      <w:r>
        <w:rPr>
          <w:rFonts w:hint="eastAsia"/>
          <w:color w:val="auto"/>
          <w:lang w:val="en-US" w:eastAsia="zh-CN"/>
        </w:rPr>
        <w:t>成交通知书</w:t>
      </w:r>
      <w:r>
        <w:rPr>
          <w:rFonts w:hint="eastAsia"/>
          <w:color w:val="auto"/>
          <w:lang w:eastAsia="zh-CN"/>
        </w:rPr>
        <w:t>》或</w:t>
      </w:r>
      <w:r>
        <w:rPr>
          <w:rFonts w:hint="eastAsia"/>
          <w:color w:val="auto"/>
          <w:lang w:val="en-US" w:eastAsia="zh-CN"/>
        </w:rPr>
        <w:t>签订</w:t>
      </w:r>
      <w:r>
        <w:rPr>
          <w:rFonts w:hint="eastAsia"/>
          <w:color w:val="auto"/>
          <w:lang w:eastAsia="zh-CN"/>
        </w:rPr>
        <w:t>《销售合同》，风险由竞得人自行承担，不得向销售方、自然资源等部门提出退款、索赔、延长砂石资源处置期限等要求。</w:t>
      </w:r>
    </w:p>
    <w:p>
      <w:pPr>
        <w:bidi w:val="0"/>
        <w:rPr>
          <w:rFonts w:hint="eastAsia"/>
          <w:color w:val="auto"/>
          <w:lang w:eastAsia="zh-CN"/>
        </w:rPr>
      </w:pPr>
      <w:r>
        <w:rPr>
          <w:rFonts w:hint="eastAsia"/>
          <w:color w:val="auto"/>
          <w:lang w:eastAsia="zh-CN"/>
        </w:rPr>
        <w:t>（</w:t>
      </w:r>
      <w:r>
        <w:rPr>
          <w:rFonts w:hint="eastAsia"/>
          <w:color w:val="auto"/>
          <w:lang w:val="en-US" w:eastAsia="zh-CN"/>
        </w:rPr>
        <w:t>六</w:t>
      </w:r>
      <w:r>
        <w:rPr>
          <w:rFonts w:hint="eastAsia"/>
          <w:color w:val="auto"/>
          <w:lang w:eastAsia="zh-CN"/>
        </w:rPr>
        <w:t>）本次销售的砂石资源自装载过磅后视为交付，</w:t>
      </w:r>
      <w:r>
        <w:rPr>
          <w:rFonts w:hint="eastAsia"/>
          <w:color w:val="auto"/>
          <w:lang w:val="en-US" w:eastAsia="zh-CN"/>
        </w:rPr>
        <w:t>交付地点为惠州市大亚湾经济技术开发区西区街道乌山子瑞高农业农场南150m处，由工程项目建设单位负责运输至上述交付地点，</w:t>
      </w:r>
      <w:r>
        <w:rPr>
          <w:rFonts w:hint="eastAsia"/>
          <w:color w:val="auto"/>
          <w:lang w:eastAsia="zh-CN"/>
        </w:rPr>
        <w:t>交付后所有风险由竞得人自行承担，装载、运输各环节全部事宜及费用、责任由竞得人自行承担。</w:t>
      </w:r>
    </w:p>
    <w:p>
      <w:pPr>
        <w:bidi w:val="0"/>
        <w:rPr>
          <w:rFonts w:hint="eastAsia"/>
          <w:color w:val="auto"/>
          <w:lang w:eastAsia="zh-CN"/>
        </w:rPr>
      </w:pPr>
      <w:r>
        <w:rPr>
          <w:rFonts w:hint="eastAsia"/>
          <w:color w:val="auto"/>
          <w:lang w:eastAsia="zh-CN"/>
        </w:rPr>
        <w:t>（</w:t>
      </w:r>
      <w:r>
        <w:rPr>
          <w:rFonts w:hint="eastAsia"/>
          <w:color w:val="auto"/>
          <w:lang w:val="en-US" w:eastAsia="zh-CN"/>
        </w:rPr>
        <w:t>七</w:t>
      </w:r>
      <w:r>
        <w:rPr>
          <w:rFonts w:hint="eastAsia"/>
          <w:color w:val="auto"/>
          <w:lang w:eastAsia="zh-CN"/>
        </w:rPr>
        <w:t>）本次销售的砂石资源须限时清场，竞得人在成功竞得砂石资源后，应根据现场施工进度及时清运剩余砂石，竞得人应保证砂石资源加工量达到</w:t>
      </w:r>
      <w:r>
        <w:rPr>
          <w:rFonts w:hint="eastAsia"/>
          <w:color w:val="auto"/>
          <w:lang w:val="en-US" w:eastAsia="zh-CN"/>
        </w:rPr>
        <w:t>45万</w:t>
      </w:r>
      <w:r>
        <w:rPr>
          <w:rFonts w:hint="eastAsia"/>
          <w:color w:val="auto"/>
          <w:lang w:eastAsia="zh-CN"/>
        </w:rPr>
        <w:t>吨/季度，此加工量以每季度实际完成的砂石筛洗、加工并准备用于销售的成品砂石量为准。如竞得人未达到约定的加工量，竞得人须进行整改或采取其他补救措施。</w:t>
      </w:r>
    </w:p>
    <w:p>
      <w:pPr>
        <w:bidi w:val="0"/>
        <w:rPr>
          <w:rFonts w:hint="eastAsia"/>
          <w:color w:val="auto"/>
          <w:lang w:eastAsia="zh-CN"/>
        </w:rPr>
      </w:pPr>
      <w:r>
        <w:rPr>
          <w:rFonts w:hint="eastAsia"/>
          <w:color w:val="auto"/>
          <w:lang w:eastAsia="zh-CN"/>
        </w:rPr>
        <w:t>（</w:t>
      </w:r>
      <w:r>
        <w:rPr>
          <w:rFonts w:hint="eastAsia"/>
          <w:color w:val="auto"/>
          <w:lang w:val="en-US" w:eastAsia="zh-CN"/>
        </w:rPr>
        <w:t>八</w:t>
      </w:r>
      <w:r>
        <w:rPr>
          <w:rFonts w:hint="eastAsia"/>
          <w:color w:val="auto"/>
          <w:lang w:eastAsia="zh-CN"/>
        </w:rPr>
        <w:t>）塘横片区</w:t>
      </w:r>
      <w:r>
        <w:rPr>
          <w:rFonts w:hint="eastAsia"/>
          <w:color w:val="auto"/>
          <w:lang w:val="en-US" w:eastAsia="zh-CN"/>
        </w:rPr>
        <w:t>砂石资源</w:t>
      </w:r>
      <w:r>
        <w:rPr>
          <w:rFonts w:hint="eastAsia"/>
          <w:color w:val="auto"/>
          <w:lang w:eastAsia="zh-CN"/>
        </w:rPr>
        <w:t>极度紧缺，竞得人优先保证本区域采挖的砂石用于塘横片区工程建设项目，保障我区域</w:t>
      </w:r>
      <w:r>
        <w:rPr>
          <w:rFonts w:hint="eastAsia"/>
          <w:color w:val="auto"/>
          <w:lang w:val="en-US" w:eastAsia="zh-CN"/>
        </w:rPr>
        <w:t>砂石资源</w:t>
      </w:r>
      <w:r>
        <w:rPr>
          <w:rFonts w:hint="eastAsia"/>
          <w:color w:val="auto"/>
          <w:lang w:eastAsia="zh-CN"/>
        </w:rPr>
        <w:t>的供应，销售渠道及价格必须接受有关部门监管。</w:t>
      </w:r>
    </w:p>
    <w:p>
      <w:pPr>
        <w:bidi w:val="0"/>
        <w:rPr>
          <w:rFonts w:hint="eastAsia"/>
          <w:color w:val="auto"/>
          <w:lang w:eastAsia="zh-CN"/>
        </w:rPr>
      </w:pPr>
      <w:r>
        <w:rPr>
          <w:rFonts w:hint="eastAsia"/>
          <w:color w:val="auto"/>
          <w:lang w:eastAsia="zh-CN"/>
        </w:rPr>
        <w:t>（</w:t>
      </w:r>
      <w:r>
        <w:rPr>
          <w:rFonts w:hint="eastAsia"/>
          <w:color w:val="auto"/>
          <w:lang w:val="en-US" w:eastAsia="zh-CN"/>
        </w:rPr>
        <w:t>九</w:t>
      </w:r>
      <w:r>
        <w:rPr>
          <w:rFonts w:hint="eastAsia"/>
          <w:color w:val="auto"/>
          <w:lang w:eastAsia="zh-CN"/>
        </w:rPr>
        <w:t>）竞得人需要遵守的其他法律、法规、规章及政策规定，自觉接受相关职能部门的监督管理。</w:t>
      </w:r>
    </w:p>
    <w:p>
      <w:pPr>
        <w:bidi w:val="0"/>
        <w:rPr>
          <w:rFonts w:hint="eastAsia"/>
          <w:color w:val="auto"/>
          <w:lang w:eastAsia="zh-CN"/>
        </w:rPr>
      </w:pPr>
      <w:r>
        <w:rPr>
          <w:rFonts w:hint="eastAsia"/>
          <w:color w:val="auto"/>
          <w:lang w:eastAsia="zh-CN"/>
        </w:rPr>
        <w:t>（</w:t>
      </w:r>
      <w:r>
        <w:rPr>
          <w:rFonts w:hint="eastAsia"/>
          <w:color w:val="auto"/>
          <w:lang w:val="en-US" w:eastAsia="zh-CN"/>
        </w:rPr>
        <w:t>十</w:t>
      </w:r>
      <w:r>
        <w:rPr>
          <w:rFonts w:hint="eastAsia"/>
          <w:color w:val="auto"/>
          <w:lang w:eastAsia="zh-CN"/>
        </w:rPr>
        <w:t>）竞得人取得本次砂石资源后，必须依法处置砂石资源，严格按照相关要求进行作业，配合做好计量、核对和确认工作，遵循相关部门的要求，做好安全生产、扬尘防护等相关工作，防止环境污染，节约集约利用砂石资源。</w:t>
      </w:r>
    </w:p>
    <w:p>
      <w:pPr>
        <w:bidi w:val="0"/>
        <w:rPr>
          <w:rFonts w:hint="eastAsia"/>
          <w:color w:val="auto"/>
          <w:lang w:eastAsia="zh-CN"/>
        </w:rPr>
      </w:pPr>
      <w:r>
        <w:rPr>
          <w:rFonts w:hint="eastAsia"/>
          <w:color w:val="auto"/>
          <w:lang w:eastAsia="zh-CN"/>
        </w:rPr>
        <w:t>（</w:t>
      </w:r>
      <w:r>
        <w:rPr>
          <w:rFonts w:hint="eastAsia"/>
          <w:color w:val="auto"/>
          <w:lang w:val="en-US" w:eastAsia="zh-CN"/>
        </w:rPr>
        <w:t>十一</w:t>
      </w:r>
      <w:r>
        <w:rPr>
          <w:rFonts w:hint="eastAsia"/>
          <w:color w:val="auto"/>
          <w:lang w:eastAsia="zh-CN"/>
        </w:rPr>
        <w:t>）竞得人在生产过程中须遵守公路车辆运输超载超限治理的相关规定，</w:t>
      </w:r>
      <w:r>
        <w:rPr>
          <w:rFonts w:hint="eastAsia"/>
          <w:color w:val="auto"/>
          <w:lang w:val="en-US" w:eastAsia="zh-CN"/>
        </w:rPr>
        <w:t>并</w:t>
      </w:r>
      <w:r>
        <w:rPr>
          <w:rFonts w:hint="eastAsia"/>
          <w:color w:val="auto"/>
          <w:lang w:eastAsia="zh-CN"/>
        </w:rPr>
        <w:t>按照规定运输路线进行装运，运输路线和运输车辆需进行报备，后期如有调整需提前报备，不得私自更改运输路线。因车辆超限、超载</w:t>
      </w:r>
      <w:r>
        <w:rPr>
          <w:rFonts w:hint="eastAsia"/>
          <w:color w:val="auto"/>
          <w:lang w:val="en-US" w:eastAsia="zh-CN"/>
        </w:rPr>
        <w:t>或私自改变运输路线等原因</w:t>
      </w:r>
      <w:r>
        <w:rPr>
          <w:rFonts w:hint="eastAsia"/>
          <w:color w:val="auto"/>
          <w:lang w:eastAsia="zh-CN"/>
        </w:rPr>
        <w:t>致使停产停工而造成损失的，由竞得人自行承担后果。</w:t>
      </w:r>
    </w:p>
    <w:p>
      <w:pPr>
        <w:bidi w:val="0"/>
        <w:rPr>
          <w:rFonts w:hint="eastAsia"/>
          <w:color w:val="auto"/>
          <w:lang w:eastAsia="zh-CN"/>
        </w:rPr>
      </w:pPr>
      <w:r>
        <w:rPr>
          <w:rFonts w:hint="eastAsia"/>
          <w:color w:val="auto"/>
          <w:lang w:eastAsia="zh-CN"/>
        </w:rPr>
        <w:t>（</w:t>
      </w:r>
      <w:r>
        <w:rPr>
          <w:rFonts w:hint="eastAsia"/>
          <w:color w:val="auto"/>
          <w:lang w:val="en-US" w:eastAsia="zh-CN"/>
        </w:rPr>
        <w:t>十二</w:t>
      </w:r>
      <w:r>
        <w:rPr>
          <w:rFonts w:hint="eastAsia"/>
          <w:color w:val="auto"/>
          <w:lang w:eastAsia="zh-CN"/>
        </w:rPr>
        <w:t>）竞得人在生产过程中须严格遵守安全生产和环境保护等相关法律法规，因安全事故和破坏环境等造成损失的，由竞得人自行承担后果。</w:t>
      </w:r>
    </w:p>
    <w:p>
      <w:pPr>
        <w:bidi w:val="0"/>
        <w:rPr>
          <w:rFonts w:hint="eastAsia"/>
          <w:color w:val="auto"/>
          <w:lang w:eastAsia="zh-CN"/>
        </w:rPr>
      </w:pPr>
      <w:r>
        <w:rPr>
          <w:rFonts w:hint="eastAsia"/>
          <w:color w:val="auto"/>
          <w:lang w:eastAsia="zh-CN"/>
        </w:rPr>
        <w:t>（</w:t>
      </w:r>
      <w:r>
        <w:rPr>
          <w:rFonts w:hint="eastAsia"/>
          <w:color w:val="auto"/>
          <w:lang w:val="en-US" w:eastAsia="zh-CN"/>
        </w:rPr>
        <w:t>十三</w:t>
      </w:r>
      <w:r>
        <w:rPr>
          <w:rFonts w:hint="eastAsia"/>
          <w:color w:val="auto"/>
          <w:lang w:eastAsia="zh-CN"/>
        </w:rPr>
        <w:t>）有下列情形之一的，视为竞得人违约，将取消竞得人资格，竞买保证金不予退还，并承担相应的违约责任，造成损失的，应当依法承担赔偿责任：</w:t>
      </w:r>
    </w:p>
    <w:p>
      <w:pPr>
        <w:bidi w:val="0"/>
        <w:rPr>
          <w:rFonts w:hint="eastAsia"/>
          <w:color w:val="auto"/>
          <w:lang w:eastAsia="zh-CN"/>
        </w:rPr>
      </w:pPr>
      <w:r>
        <w:rPr>
          <w:rFonts w:hint="eastAsia"/>
          <w:color w:val="auto"/>
          <w:lang w:val="en-US" w:eastAsia="zh-CN"/>
        </w:rPr>
        <w:t>1.</w:t>
      </w:r>
      <w:r>
        <w:rPr>
          <w:rFonts w:hint="eastAsia"/>
          <w:color w:val="auto"/>
          <w:lang w:eastAsia="zh-CN"/>
        </w:rPr>
        <w:t>竞得人逾期</w:t>
      </w:r>
      <w:r>
        <w:rPr>
          <w:rFonts w:hint="eastAsia"/>
          <w:color w:val="auto"/>
          <w:lang w:val="en-US" w:eastAsia="zh-CN"/>
        </w:rPr>
        <w:t>未办理</w:t>
      </w:r>
      <w:r>
        <w:rPr>
          <w:rFonts w:hint="eastAsia"/>
          <w:color w:val="auto"/>
          <w:lang w:eastAsia="zh-CN"/>
        </w:rPr>
        <w:t>《</w:t>
      </w:r>
      <w:r>
        <w:rPr>
          <w:rFonts w:hint="eastAsia"/>
          <w:color w:val="auto"/>
          <w:lang w:val="en-US" w:eastAsia="zh-CN"/>
        </w:rPr>
        <w:t>成交通知书</w:t>
      </w:r>
      <w:r>
        <w:rPr>
          <w:rFonts w:hint="eastAsia"/>
          <w:color w:val="auto"/>
          <w:lang w:eastAsia="zh-CN"/>
        </w:rPr>
        <w:t>》或者拒绝签订《销售合同》的；</w:t>
      </w:r>
    </w:p>
    <w:p>
      <w:pPr>
        <w:bidi w:val="0"/>
        <w:rPr>
          <w:rFonts w:hint="eastAsia"/>
          <w:color w:val="auto"/>
          <w:lang w:eastAsia="zh-CN"/>
        </w:rPr>
      </w:pPr>
      <w:r>
        <w:rPr>
          <w:rFonts w:hint="eastAsia"/>
          <w:color w:val="auto"/>
          <w:lang w:val="en-US" w:eastAsia="zh-CN"/>
        </w:rPr>
        <w:t>2.</w:t>
      </w:r>
      <w:r>
        <w:rPr>
          <w:rFonts w:hint="eastAsia"/>
          <w:color w:val="auto"/>
          <w:lang w:eastAsia="zh-CN"/>
        </w:rPr>
        <w:t>竞得人未按约定的时间付清约定的砂石资源销售款项或者其他相关费用的；</w:t>
      </w:r>
    </w:p>
    <w:p>
      <w:pPr>
        <w:bidi w:val="0"/>
        <w:rPr>
          <w:rFonts w:hint="eastAsia"/>
          <w:color w:val="auto"/>
          <w:lang w:eastAsia="zh-CN"/>
        </w:rPr>
      </w:pPr>
      <w:r>
        <w:rPr>
          <w:rFonts w:hint="eastAsia"/>
          <w:color w:val="auto"/>
          <w:lang w:val="en-US" w:eastAsia="zh-CN"/>
        </w:rPr>
        <w:t>3.</w:t>
      </w:r>
      <w:r>
        <w:rPr>
          <w:rFonts w:hint="eastAsia"/>
          <w:color w:val="auto"/>
          <w:lang w:eastAsia="zh-CN"/>
        </w:rPr>
        <w:t>竞得人提供虚假文件或者隐瞒事实的；</w:t>
      </w:r>
    </w:p>
    <w:p>
      <w:pPr>
        <w:bidi w:val="0"/>
        <w:rPr>
          <w:rFonts w:hint="eastAsia"/>
          <w:color w:val="auto"/>
          <w:lang w:eastAsia="zh-CN"/>
        </w:rPr>
      </w:pPr>
      <w:r>
        <w:rPr>
          <w:rFonts w:hint="eastAsia"/>
          <w:color w:val="auto"/>
          <w:lang w:val="en-US" w:eastAsia="zh-CN"/>
        </w:rPr>
        <w:t>4.</w:t>
      </w:r>
      <w:r>
        <w:rPr>
          <w:rFonts w:hint="eastAsia"/>
          <w:color w:val="auto"/>
          <w:lang w:eastAsia="zh-CN"/>
        </w:rPr>
        <w:t>向主管部门行贿或者采取其他不正当手段者竞得的；</w:t>
      </w:r>
    </w:p>
    <w:p>
      <w:pPr>
        <w:bidi w:val="0"/>
        <w:rPr>
          <w:rFonts w:hint="eastAsia"/>
        </w:rPr>
      </w:pPr>
      <w:r>
        <w:rPr>
          <w:rFonts w:hint="eastAsia"/>
          <w:color w:val="auto"/>
          <w:lang w:val="en-US" w:eastAsia="zh-CN"/>
        </w:rPr>
        <w:t>5.</w:t>
      </w:r>
      <w:r>
        <w:rPr>
          <w:rFonts w:hint="eastAsia"/>
          <w:color w:val="auto"/>
          <w:lang w:eastAsia="zh-CN"/>
        </w:rPr>
        <w:t>其他依法应当认定为违约行为的情形。</w:t>
      </w:r>
    </w:p>
    <w:p>
      <w:pPr>
        <w:pStyle w:val="2"/>
        <w:rPr>
          <w:rFonts w:hint="eastAsia"/>
        </w:rPr>
      </w:pPr>
    </w:p>
    <w:p>
      <w:pPr>
        <w:bidi w:val="0"/>
        <w:rPr>
          <w:rFonts w:hint="eastAsia"/>
        </w:rPr>
      </w:pPr>
      <w:r>
        <w:rPr>
          <w:rFonts w:hint="eastAsia"/>
        </w:rPr>
        <w:t>委托方单位全称（盖章）：</w:t>
      </w:r>
    </w:p>
    <w:p>
      <w:pPr>
        <w:bidi w:val="0"/>
        <w:jc w:val="center"/>
        <w:rPr>
          <w:rFonts w:hint="eastAsia"/>
        </w:rPr>
      </w:pPr>
      <w:r>
        <w:rPr>
          <w:rFonts w:hint="eastAsia"/>
        </w:rPr>
        <w:t>惠州大亚湾经济技术开发区科技创新发展中心</w:t>
      </w:r>
    </w:p>
    <w:p>
      <w:pPr>
        <w:bidi w:val="0"/>
        <w:jc w:val="center"/>
        <w:rPr>
          <w:rFonts w:hint="eastAsia"/>
        </w:rPr>
      </w:pPr>
      <w:r>
        <w:rPr>
          <w:rFonts w:hint="eastAsia"/>
          <w:lang w:eastAsia="zh-CN"/>
        </w:rPr>
        <w:t>（</w:t>
      </w:r>
      <w:r>
        <w:rPr>
          <w:rFonts w:hint="eastAsia"/>
        </w:rPr>
        <w:t>惠州大亚湾经济技术开发区新兴产业发展中心</w:t>
      </w:r>
      <w:r>
        <w:rPr>
          <w:rFonts w:hint="eastAsia"/>
          <w:lang w:eastAsia="zh-CN"/>
        </w:rPr>
        <w:t>）</w:t>
      </w:r>
    </w:p>
    <w:p>
      <w:pPr>
        <w:tabs>
          <w:tab w:val="left" w:pos="6030"/>
        </w:tabs>
        <w:spacing w:line="5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ab/>
      </w:r>
    </w:p>
    <w:p>
      <w:pPr>
        <w:spacing w:line="560" w:lineRule="exact"/>
        <w:rPr>
          <w:rFonts w:hint="eastAsia" w:ascii="仿宋" w:hAnsi="仿宋" w:eastAsia="仿宋" w:cs="仿宋"/>
          <w:sz w:val="32"/>
          <w:szCs w:val="32"/>
        </w:rPr>
      </w:pPr>
      <w:r>
        <w:rPr>
          <w:rFonts w:hint="eastAsia" w:ascii="仿宋" w:hAnsi="仿宋" w:eastAsia="仿宋" w:cs="仿宋"/>
          <w:sz w:val="32"/>
          <w:szCs w:val="32"/>
        </w:rPr>
        <w:t>委托方法定代表人(签字)：</w:t>
      </w:r>
    </w:p>
    <w:p>
      <w:pPr>
        <w:tabs>
          <w:tab w:val="left" w:pos="7524"/>
          <w:tab w:val="left" w:pos="7920"/>
        </w:tabs>
        <w:spacing w:line="560" w:lineRule="exact"/>
        <w:ind w:firstLine="5139" w:firstLineChars="1606"/>
        <w:rPr>
          <w:rFonts w:hint="eastAsia" w:ascii="仿宋" w:hAnsi="仿宋" w:eastAsia="仿宋" w:cs="仿宋"/>
          <w:sz w:val="32"/>
          <w:szCs w:val="32"/>
        </w:rPr>
      </w:pPr>
    </w:p>
    <w:p>
      <w:pPr>
        <w:pStyle w:val="2"/>
        <w:rPr>
          <w:rFonts w:hint="eastAsia"/>
        </w:rPr>
      </w:pPr>
    </w:p>
    <w:p>
      <w:pPr>
        <w:tabs>
          <w:tab w:val="left" w:pos="7524"/>
          <w:tab w:val="left" w:pos="7920"/>
        </w:tabs>
        <w:spacing w:line="560" w:lineRule="exact"/>
        <w:ind w:firstLine="5139" w:firstLineChars="1606"/>
        <w:rPr>
          <w:rFonts w:hint="default"/>
          <w:lang w:val="en-US"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w:t>
      </w:r>
      <w:r>
        <w:rPr>
          <w:rFonts w:hint="eastAsia" w:ascii="仿宋" w:hAnsi="仿宋" w:eastAsia="仿宋" w:cs="仿宋"/>
          <w:sz w:val="32"/>
          <w:szCs w:val="32"/>
          <w:lang w:val="en-US" w:eastAsia="zh-CN"/>
        </w:rPr>
        <w:t>12</w:t>
      </w:r>
      <w:r>
        <w:rPr>
          <w:rFonts w:hint="eastAsia" w:ascii="仿宋" w:hAnsi="仿宋" w:eastAsia="仿宋" w:cs="仿宋"/>
          <w:sz w:val="32"/>
          <w:szCs w:val="32"/>
        </w:rPr>
        <w:t>月</w:t>
      </w:r>
      <w:r>
        <w:rPr>
          <w:rFonts w:hint="eastAsia" w:ascii="仿宋" w:hAnsi="仿宋" w:eastAsia="仿宋" w:cs="仿宋"/>
          <w:sz w:val="32"/>
          <w:szCs w:val="32"/>
          <w:lang w:val="en-US" w:eastAsia="zh-CN"/>
        </w:rPr>
        <w:t>31</w:t>
      </w:r>
      <w:r>
        <w:rPr>
          <w:rFonts w:hint="eastAsia" w:ascii="仿宋" w:hAnsi="仿宋" w:eastAsia="仿宋" w:cs="仿宋"/>
          <w:sz w:val="32"/>
          <w:szCs w:val="32"/>
        </w:rPr>
        <w:t>日</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75F15E"/>
    <w:multiLevelType w:val="singleLevel"/>
    <w:tmpl w:val="BC75F15E"/>
    <w:lvl w:ilvl="0" w:tentative="0">
      <w:start w:val="2"/>
      <w:numFmt w:val="chineseCounting"/>
      <w:suff w:val="nothing"/>
      <w:lvlText w:val="（%1）"/>
      <w:lvlJc w:val="left"/>
      <w:rPr>
        <w:rFonts w:hint="eastAsia"/>
      </w:rPr>
    </w:lvl>
  </w:abstractNum>
  <w:abstractNum w:abstractNumId="1">
    <w:nsid w:val="E5E67DA4"/>
    <w:multiLevelType w:val="singleLevel"/>
    <w:tmpl w:val="E5E67DA4"/>
    <w:lvl w:ilvl="0" w:tentative="0">
      <w:start w:val="1"/>
      <w:numFmt w:val="chineseCounting"/>
      <w:suff w:val="nothing"/>
      <w:lvlText w:val="（%1）"/>
      <w:lvlJc w:val="left"/>
      <w:rPr>
        <w:rFonts w:hint="eastAsia"/>
      </w:rPr>
    </w:lvl>
  </w:abstractNum>
  <w:abstractNum w:abstractNumId="2">
    <w:nsid w:val="185D38DB"/>
    <w:multiLevelType w:val="singleLevel"/>
    <w:tmpl w:val="185D38DB"/>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E5E17"/>
    <w:rsid w:val="00185CE3"/>
    <w:rsid w:val="01822FB4"/>
    <w:rsid w:val="01A43EDB"/>
    <w:rsid w:val="028C0DB3"/>
    <w:rsid w:val="031958EC"/>
    <w:rsid w:val="03EE1772"/>
    <w:rsid w:val="04BF0357"/>
    <w:rsid w:val="055B6471"/>
    <w:rsid w:val="05ED550D"/>
    <w:rsid w:val="064C7F47"/>
    <w:rsid w:val="07575D53"/>
    <w:rsid w:val="07E51614"/>
    <w:rsid w:val="0DE16D3D"/>
    <w:rsid w:val="0E511D56"/>
    <w:rsid w:val="11653D5D"/>
    <w:rsid w:val="12E94D7F"/>
    <w:rsid w:val="17D750F5"/>
    <w:rsid w:val="1A6A28F1"/>
    <w:rsid w:val="1A881939"/>
    <w:rsid w:val="1B91099E"/>
    <w:rsid w:val="1C8144C5"/>
    <w:rsid w:val="1E31183F"/>
    <w:rsid w:val="20C106B3"/>
    <w:rsid w:val="225C34AE"/>
    <w:rsid w:val="23DB26B0"/>
    <w:rsid w:val="258853D5"/>
    <w:rsid w:val="25FD3D5C"/>
    <w:rsid w:val="28FA66F2"/>
    <w:rsid w:val="296C4475"/>
    <w:rsid w:val="2AB052F6"/>
    <w:rsid w:val="2AB478EB"/>
    <w:rsid w:val="2C855861"/>
    <w:rsid w:val="2D5A6F68"/>
    <w:rsid w:val="2E5D175A"/>
    <w:rsid w:val="2F1E4C45"/>
    <w:rsid w:val="330340A2"/>
    <w:rsid w:val="34EA0013"/>
    <w:rsid w:val="34F20216"/>
    <w:rsid w:val="3B3124A1"/>
    <w:rsid w:val="3E171D3C"/>
    <w:rsid w:val="3E653807"/>
    <w:rsid w:val="407E0428"/>
    <w:rsid w:val="40D8026A"/>
    <w:rsid w:val="41875D1E"/>
    <w:rsid w:val="41F57CC8"/>
    <w:rsid w:val="456855EE"/>
    <w:rsid w:val="46864AB8"/>
    <w:rsid w:val="488B3036"/>
    <w:rsid w:val="489769B6"/>
    <w:rsid w:val="4A6D6614"/>
    <w:rsid w:val="4AB16F69"/>
    <w:rsid w:val="4E1E6F1E"/>
    <w:rsid w:val="50632F7B"/>
    <w:rsid w:val="510C6B83"/>
    <w:rsid w:val="53607344"/>
    <w:rsid w:val="57AA2232"/>
    <w:rsid w:val="58D8490D"/>
    <w:rsid w:val="59A9101C"/>
    <w:rsid w:val="59B6442F"/>
    <w:rsid w:val="5DC967D2"/>
    <w:rsid w:val="5EEC53E2"/>
    <w:rsid w:val="60892E62"/>
    <w:rsid w:val="61D642A7"/>
    <w:rsid w:val="640E5E17"/>
    <w:rsid w:val="655168D9"/>
    <w:rsid w:val="695E4C32"/>
    <w:rsid w:val="6B87789D"/>
    <w:rsid w:val="6E2F230C"/>
    <w:rsid w:val="6E915892"/>
    <w:rsid w:val="701760F7"/>
    <w:rsid w:val="70443331"/>
    <w:rsid w:val="720B317D"/>
    <w:rsid w:val="75436690"/>
    <w:rsid w:val="77294CFE"/>
    <w:rsid w:val="78C00448"/>
    <w:rsid w:val="797C15CF"/>
    <w:rsid w:val="7C342569"/>
    <w:rsid w:val="7E012CED"/>
    <w:rsid w:val="7EB32C4A"/>
    <w:rsid w:val="DBFF1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3" w:firstLineChars="200"/>
      <w:jc w:val="both"/>
    </w:pPr>
    <w:rPr>
      <w:rFonts w:ascii="Times New Roman" w:hAnsi="Times New Roman" w:eastAsia="仿宋_GB2312" w:cs="Times New Roman"/>
      <w:kern w:val="2"/>
      <w:sz w:val="32"/>
      <w:szCs w:val="32"/>
      <w:lang w:val="en-US" w:eastAsia="zh-CN" w:bidi="ar-SA"/>
    </w:rPr>
  </w:style>
  <w:style w:type="paragraph" w:styleId="3">
    <w:name w:val="heading 1"/>
    <w:basedOn w:val="1"/>
    <w:next w:val="1"/>
    <w:qFormat/>
    <w:uiPriority w:val="0"/>
    <w:pPr>
      <w:keepNext/>
      <w:keepLines/>
      <w:spacing w:beforeLines="0" w:beforeAutospacing="0" w:afterLines="0" w:afterAutospacing="0" w:line="576" w:lineRule="exact"/>
      <w:ind w:firstLine="880" w:firstLineChars="200"/>
      <w:jc w:val="both"/>
      <w:outlineLvl w:val="0"/>
    </w:pPr>
    <w:rPr>
      <w:rFonts w:ascii="Times New Roman" w:hAnsi="Times New Roman" w:eastAsia="黑体" w:cs="Times New Roman"/>
      <w:kern w:val="44"/>
      <w:sz w:val="32"/>
      <w:szCs w:val="32"/>
    </w:rPr>
  </w:style>
  <w:style w:type="paragraph" w:styleId="4">
    <w:name w:val="heading 2"/>
    <w:basedOn w:val="1"/>
    <w:next w:val="1"/>
    <w:unhideWhenUsed/>
    <w:qFormat/>
    <w:uiPriority w:val="0"/>
    <w:pPr>
      <w:keepNext/>
      <w:keepLines/>
      <w:spacing w:beforeLines="0" w:beforeAutospacing="0" w:afterLines="0" w:afterAutospacing="0" w:line="576" w:lineRule="exact"/>
      <w:ind w:firstLine="880" w:firstLineChars="200"/>
      <w:outlineLvl w:val="1"/>
    </w:pPr>
    <w:rPr>
      <w:rFonts w:eastAsia="楷体_GB2312" w:cs="Times New Roman"/>
    </w:rPr>
  </w:style>
  <w:style w:type="paragraph" w:styleId="5">
    <w:name w:val="heading 3"/>
    <w:basedOn w:val="1"/>
    <w:next w:val="1"/>
    <w:unhideWhenUsed/>
    <w:qFormat/>
    <w:uiPriority w:val="0"/>
    <w:pPr>
      <w:keepNext/>
      <w:keepLines/>
      <w:spacing w:beforeLines="0" w:beforeAutospacing="0" w:afterLines="0" w:afterAutospacing="0" w:line="576" w:lineRule="exact"/>
      <w:ind w:firstLine="880" w:firstLineChars="200"/>
      <w:outlineLvl w:val="2"/>
    </w:pPr>
    <w:rPr>
      <w:rFonts w:cs="Times New Roman"/>
      <w:bCs/>
    </w:rPr>
  </w:style>
  <w:style w:type="character" w:default="1" w:styleId="9">
    <w:name w:val="Default Paragraph Font"/>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0">
    <w:name w:val="公文标题"/>
    <w:basedOn w:val="1"/>
    <w:next w:val="1"/>
    <w:qFormat/>
    <w:uiPriority w:val="0"/>
    <w:pPr>
      <w:keepNext/>
      <w:keepLines/>
      <w:spacing w:beforeLines="0" w:afterLines="0" w:line="700" w:lineRule="exact"/>
      <w:ind w:firstLine="0" w:firstLineChars="0"/>
      <w:jc w:val="center"/>
      <w:textAlignment w:val="auto"/>
      <w:outlineLvl w:val="9"/>
    </w:pPr>
    <w:rPr>
      <w:rFonts w:hint="eastAsia" w:ascii="Times New Roman" w:hAnsi="Times New Roman" w:eastAsia="方正小标宋简体" w:cs="Times New Roman"/>
      <w:kern w:val="44"/>
      <w:sz w:val="44"/>
      <w:szCs w:val="44"/>
    </w:rPr>
  </w:style>
  <w:style w:type="paragraph" w:customStyle="1" w:styleId="11">
    <w:name w:val="单位"/>
    <w:basedOn w:val="1"/>
    <w:qFormat/>
    <w:uiPriority w:val="0"/>
    <w:rPr>
      <w:rFonts w:hint="eastAsia" w:eastAsia="楷体_GB231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4367</Words>
  <Characters>4882</Characters>
  <Lines>0</Lines>
  <Paragraphs>0</Paragraphs>
  <TotalTime>25</TotalTime>
  <ScaleCrop>false</ScaleCrop>
  <LinksUpToDate>false</LinksUpToDate>
  <CharactersWithSpaces>4888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2024-12-11T09:53:00Z</dcterms:created>
  <dc:creator>Administrator</dc:creator>
  <cp:lastModifiedBy>xeeyan1207</cp:lastModifiedBy>
  <cp:lastPrinted>2025-12-31T02:19:47Z</cp:lastPrinted>
  <dcterms:modified xsi:type="dcterms:W3CDTF">2025-12-31T03:02:11Z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908AC2FF4382499E9768091551881780</vt:lpwstr>
  </property>
</Properties>
</file>