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9389">
      <w:pPr>
        <w:spacing w:line="640" w:lineRule="exact"/>
        <w:jc w:val="center"/>
        <w:rPr>
          <w:rFonts w:hint="eastAsia" w:ascii="创艺简标宋" w:hAnsi="创艺简标宋" w:eastAsia="方正小标宋_GBK" w:cs="创艺简标宋"/>
          <w:color w:val="auto"/>
          <w:kern w:val="44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44"/>
          <w:sz w:val="44"/>
          <w:szCs w:val="44"/>
          <w:lang w:bidi="ar"/>
        </w:rPr>
        <w:t>外购蒸汽管道转让合同（范本）</w:t>
      </w:r>
    </w:p>
    <w:p w14:paraId="4F3261FA">
      <w:pPr>
        <w:spacing w:line="52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7FB442B1">
      <w:pPr>
        <w:spacing w:line="52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转让方（以下简称甲方）：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惠州市惠南产城发展有限公司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受让方（以下简称乙方）：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        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　　</w:t>
      </w:r>
    </w:p>
    <w:p w14:paraId="54E226FD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12EAE0F5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根据《中华人民共和国民法典》及相关法律法规的规定，在平等、自愿、公平和诚实信用的基础上，经双方协商一致，订立本合同。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　　</w:t>
      </w: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一、标的物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基本情况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　　本次转让标的物为甲方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位于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惠州市惠澳大道惠南高新科技产业园惠泰路1号惠创未来城内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一条外购蒸汽管道，该管道自项目东南侧围墙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eastAsia="zh-CN"/>
        </w:rPr>
        <w:t>外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供热管道接入点起，沿东南侧围墙向北至约240米处，再向西进入地下管廊，沿地下管廊至附属栋9（原动栋）止。具体情况如下：</w:t>
      </w:r>
    </w:p>
    <w:tbl>
      <w:tblPr>
        <w:tblStyle w:val="8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41"/>
        <w:gridCol w:w="1377"/>
        <w:gridCol w:w="1214"/>
        <w:gridCol w:w="764"/>
        <w:gridCol w:w="791"/>
        <w:gridCol w:w="1254"/>
        <w:gridCol w:w="2932"/>
      </w:tblGrid>
      <w:tr w14:paraId="5F0E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Align w:val="center"/>
          </w:tcPr>
          <w:p w14:paraId="6366F583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1" w:type="dxa"/>
            <w:vAlign w:val="center"/>
          </w:tcPr>
          <w:p w14:paraId="12033C1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377" w:type="dxa"/>
            <w:vAlign w:val="center"/>
          </w:tcPr>
          <w:p w14:paraId="5EEF74F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14" w:type="dxa"/>
            <w:vAlign w:val="center"/>
          </w:tcPr>
          <w:p w14:paraId="7322B45B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764" w:type="dxa"/>
            <w:vAlign w:val="center"/>
          </w:tcPr>
          <w:p w14:paraId="06643193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91" w:type="dxa"/>
            <w:vAlign w:val="center"/>
          </w:tcPr>
          <w:p w14:paraId="5407D6B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54" w:type="dxa"/>
            <w:vAlign w:val="center"/>
          </w:tcPr>
          <w:p w14:paraId="21CE864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建造日期</w:t>
            </w:r>
          </w:p>
        </w:tc>
        <w:tc>
          <w:tcPr>
            <w:tcW w:w="2932" w:type="dxa"/>
            <w:vAlign w:val="center"/>
          </w:tcPr>
          <w:p w14:paraId="640731B9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备注</w:t>
            </w:r>
          </w:p>
        </w:tc>
      </w:tr>
      <w:tr w14:paraId="3891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453C2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14:paraId="674FE6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蒸汽管道</w:t>
            </w:r>
          </w:p>
        </w:tc>
        <w:tc>
          <w:tcPr>
            <w:tcW w:w="1377" w:type="dxa"/>
            <w:vAlign w:val="center"/>
          </w:tcPr>
          <w:p w14:paraId="7E5F1CC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DN200,</w:t>
            </w:r>
          </w:p>
          <w:p w14:paraId="7D39A99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1.6Mpa</w:t>
            </w:r>
          </w:p>
        </w:tc>
        <w:tc>
          <w:tcPr>
            <w:tcW w:w="1214" w:type="dxa"/>
            <w:vAlign w:val="center"/>
          </w:tcPr>
          <w:p w14:paraId="441D667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中国南海工程有限公司</w:t>
            </w:r>
          </w:p>
        </w:tc>
        <w:tc>
          <w:tcPr>
            <w:tcW w:w="764" w:type="dxa"/>
            <w:vAlign w:val="center"/>
          </w:tcPr>
          <w:p w14:paraId="345F63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米</w:t>
            </w:r>
          </w:p>
        </w:tc>
        <w:tc>
          <w:tcPr>
            <w:tcW w:w="791" w:type="dxa"/>
            <w:vAlign w:val="center"/>
          </w:tcPr>
          <w:p w14:paraId="590F52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254" w:type="dxa"/>
            <w:vAlign w:val="center"/>
          </w:tcPr>
          <w:p w14:paraId="4DCE51C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2018年11月20日</w:t>
            </w:r>
          </w:p>
        </w:tc>
        <w:tc>
          <w:tcPr>
            <w:tcW w:w="2932" w:type="dxa"/>
            <w:vAlign w:val="center"/>
          </w:tcPr>
          <w:p w14:paraId="1A80FCC4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包含600米φ219*6.0mm无缝钢管、90.08m厚135mm岩棉保温层、90.8m铝箔纤维放射层、不锈钢板及管道配套的弯头、阀门、法兰、三通、闸阀、支架等配件。</w:t>
            </w:r>
          </w:p>
        </w:tc>
      </w:tr>
    </w:tbl>
    <w:p w14:paraId="7164D58C"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转让价格与</w:t>
      </w: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支付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方式</w:t>
      </w:r>
    </w:p>
    <w:p w14:paraId="54EE8E5A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甲方通过惠州市公共资源交易中心交易系统将标的物以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惠公易产仲恺[202X] XXX号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公开挂牌，乙方作为最终受让方，成交价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为人民币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（不含税）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535839B5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乙方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应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在本合同签订之日起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5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个工作日内一次性将成交价款及相关税款的100%以转账方式支付至甲方指定账户，即人民币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（小写：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¥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元）（含13%增值税价）。</w:t>
      </w:r>
    </w:p>
    <w:p w14:paraId="5319F14A">
      <w:pPr>
        <w:widowControl/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）甲方账户信息：</w:t>
      </w:r>
    </w:p>
    <w:p w14:paraId="041495DB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开户名：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惠州市惠南产城发展有限公司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 w14:paraId="6B913E92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账  号：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666557736258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 w14:paraId="05393736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开户行：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中国银行股份有限公司惠州分行</w:t>
      </w:r>
    </w:p>
    <w:p w14:paraId="40EAE3DF"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甲方应于资产交接手续办理完成后及时向乙方开具合法、有效的增值税专用发票。</w:t>
      </w:r>
    </w:p>
    <w:p w14:paraId="03FB42D8"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资产交付</w:t>
      </w:r>
    </w:p>
    <w:p w14:paraId="4E4272D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双方签订合同且乙方全额支付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本合同约定价款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后，甲乙双方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个工作日内办理标的资产交接手续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并在《资产交割书》上签字盖章确认。</w:t>
      </w:r>
    </w:p>
    <w:p w14:paraId="3A69EA5A"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、双方权利和义务</w:t>
      </w:r>
    </w:p>
    <w:p w14:paraId="1E217223"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1.甲方的权利和义务：</w:t>
      </w:r>
    </w:p>
    <w:p w14:paraId="0B222861">
      <w:pPr>
        <w:tabs>
          <w:tab w:val="left" w:pos="0"/>
        </w:tabs>
        <w:spacing w:line="520" w:lineRule="exact"/>
        <w:ind w:firstLine="64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（1）甲方向乙方移交本次转让标的物。甲方保证对标的物拥有完整所有权，无任何第三方权利主张或负担。</w:t>
      </w:r>
    </w:p>
    <w:p w14:paraId="06E7AE1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甲方应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积极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配合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提供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该蒸汽管道竣工图纸等相关资料给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乙方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2C95F07B">
      <w:pPr>
        <w:tabs>
          <w:tab w:val="left" w:pos="0"/>
        </w:tabs>
        <w:spacing w:line="520" w:lineRule="exact"/>
        <w:ind w:firstLine="64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2.乙方的权利和义务：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　　（1）标的物以实物现状为准，乙方已对标的物进行了尽职调查，现场查看并详细确认了标的物的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质量、使用性能、瑕疵等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具体信息，完全认可接受标的物现状、误差和瑕疵，同意按标的物现状进行受让，同意承担由此而产生的一切风险和损失。合同签订后，乙方不得无故拒绝接收本次转让标的物，不得以标的物现状存在的瑕疵或不可抗力造成的瑕疵为由拒绝接收。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　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）该蒸汽管道原则上优先保障惠创未来城项目供给；若乙方有拆除该蒸汽管道的计划，须提前向甲方报备，经甲方书面同意后，方可依规开展拆除工作。</w:t>
      </w:r>
    </w:p>
    <w:p w14:paraId="01731FD5">
      <w:pPr>
        <w:tabs>
          <w:tab w:val="left" w:pos="0"/>
        </w:tabs>
        <w:spacing w:line="520" w:lineRule="exact"/>
        <w:ind w:firstLine="640"/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七、违约责任</w:t>
      </w:r>
    </w:p>
    <w:p w14:paraId="71CE93FF">
      <w:pPr>
        <w:tabs>
          <w:tab w:val="left" w:pos="0"/>
        </w:tabs>
        <w:spacing w:line="520" w:lineRule="exact"/>
        <w:ind w:firstLine="64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1.乙方在合同约定期限内未按时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支付交易价款的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，每延期一天，应按合同货款总额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或差额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的0.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‰（万分之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）向甲方支付违约金，同时仍应履行付款义务。逾期超过15日的，甲方有权单方解除本合同，并有权要求乙方支付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交易价款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总额的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%作为违约金。</w:t>
      </w:r>
    </w:p>
    <w:p w14:paraId="1F03A6CC">
      <w:pPr>
        <w:numPr>
          <w:ilvl w:val="0"/>
          <w:numId w:val="0"/>
        </w:numPr>
        <w:tabs>
          <w:tab w:val="left" w:pos="0"/>
        </w:tabs>
        <w:spacing w:line="520" w:lineRule="exact"/>
        <w:ind w:firstLine="64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任何一方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不履行或不完全履行本合同约定义务的，应当承担相应的违约责任，并赔偿由此给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守约方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造成的损失，包括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守约方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为实现债权而支付的费用（包括但不限于诉讼费、仲裁费、保全费、执行费、公证费、律师费、鉴定费、送达费、保全保险费、翻译费、公告费及其他费用）。</w:t>
      </w:r>
    </w:p>
    <w:p w14:paraId="77E91411"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八、争议解决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　　甲乙双方在履行合同时发生争议的，应协商解决。协商不成的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甲、乙双方均有权提交甲方所在地有管辖权的人民法院审理。</w:t>
      </w:r>
    </w:p>
    <w:p w14:paraId="1372B012">
      <w:pPr>
        <w:spacing w:line="520" w:lineRule="exact"/>
        <w:ind w:firstLine="643" w:firstLineChars="200"/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九、其他约定事项</w:t>
      </w:r>
    </w:p>
    <w:p w14:paraId="2E9B18A4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乙方进入甲方场地，必须遵守甲方安全文明施工等相关管理制度，对不听从甲方管理的人员、车辆，甲方有权清理出场。</w:t>
      </w:r>
    </w:p>
    <w:p w14:paraId="3911272B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乙方人员必须拥有相应资质，按照国家有关安全生产的法律、法规进行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管道修缮、复用、使用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。若因乙方原因造成甲方及其他第三方的人身财产损失的，由乙方承担责任。</w:t>
      </w:r>
    </w:p>
    <w:p w14:paraId="0029D426">
      <w:pPr>
        <w:numPr>
          <w:ilvl w:val="0"/>
          <w:numId w:val="0"/>
        </w:num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-SA"/>
        </w:rPr>
        <w:t>自《资产交割书》签署之日起，标的物的所有权、管理权、使用权及由此产生的所有安全生产主体责任、环境污染责任等全部责任即时转移至乙方。</w:t>
      </w:r>
    </w:p>
    <w:p w14:paraId="42B9BF6E">
      <w:pPr>
        <w:pStyle w:val="10"/>
        <w:adjustRightInd w:val="0"/>
        <w:snapToGrid w:val="0"/>
        <w:spacing w:line="520" w:lineRule="exact"/>
        <w:ind w:left="640" w:firstLine="0" w:firstLineChars="0"/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十、合同的生效</w:t>
      </w:r>
    </w:p>
    <w:p w14:paraId="496A42A4">
      <w:pPr>
        <w:ind w:firstLine="640" w:firstLineChars="200"/>
        <w:rPr>
          <w:rFonts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1.《资产交割书》是本合同不可分割的一部分，与本合同具有同等法律效力。</w:t>
      </w:r>
    </w:p>
    <w:p w14:paraId="3BCED08E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合同如有未尽事宜，经双方协商签订补充协议。</w:t>
      </w:r>
    </w:p>
    <w:p w14:paraId="7D4D7129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.本合同自双方签字并加盖公章之日起生效。本合同一式伍份，甲乙双方各执贰份，惠州市公共资源交易中心仲恺分中心壹份，具有同等法律效力。</w:t>
      </w:r>
    </w:p>
    <w:p w14:paraId="47F809DB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（以下无正文）</w:t>
      </w:r>
    </w:p>
    <w:p w14:paraId="048720C5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2B47BD05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3C907148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525BD79D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42F83B19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45AD98CA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06448E3A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（签字盖章页）　</w:t>
      </w:r>
    </w:p>
    <w:p w14:paraId="1A511B88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5759F8E6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甲方：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>惠州市惠南产城发展有限公司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（盖章）         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法定代表人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或授权代表（签名）：</w:t>
      </w:r>
    </w:p>
    <w:p w14:paraId="36915FA3">
      <w:pPr>
        <w:spacing w:line="960" w:lineRule="exact"/>
        <w:ind w:firstLine="320" w:firstLineChars="1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0074ED09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乙方：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（盖章） </w:t>
      </w:r>
    </w:p>
    <w:p w14:paraId="544C1261">
      <w:pPr>
        <w:spacing w:line="960" w:lineRule="exac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法定代表人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或授权代表（签名）： </w:t>
      </w:r>
    </w:p>
    <w:p w14:paraId="2712683F">
      <w:pPr>
        <w:spacing w:line="960" w:lineRule="exact"/>
        <w:rPr>
          <w:rFonts w:ascii="Times New Roman" w:hAnsi="Times New Roman" w:eastAsia="方正仿宋_GBK" w:cs="Times New Roman"/>
          <w:color w:val="auto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签订时间：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C117F"/>
    <w:multiLevelType w:val="singleLevel"/>
    <w:tmpl w:val="E43C117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MTkzNzI5ODgxZWVlYmJjZjk4MDBiNDE1NzdkZTkifQ=="/>
  </w:docVars>
  <w:rsids>
    <w:rsidRoot w:val="0D2C1E01"/>
    <w:rsid w:val="00236212"/>
    <w:rsid w:val="0033008B"/>
    <w:rsid w:val="004F20E0"/>
    <w:rsid w:val="006377D2"/>
    <w:rsid w:val="006D4E84"/>
    <w:rsid w:val="008B04BE"/>
    <w:rsid w:val="008B5026"/>
    <w:rsid w:val="009864BA"/>
    <w:rsid w:val="00B406C6"/>
    <w:rsid w:val="00F30EFB"/>
    <w:rsid w:val="01055A5C"/>
    <w:rsid w:val="02860D82"/>
    <w:rsid w:val="037B081B"/>
    <w:rsid w:val="03B66504"/>
    <w:rsid w:val="04BF763A"/>
    <w:rsid w:val="05E337FC"/>
    <w:rsid w:val="06456265"/>
    <w:rsid w:val="06B71E05"/>
    <w:rsid w:val="06E03957"/>
    <w:rsid w:val="075443A9"/>
    <w:rsid w:val="07BF1175"/>
    <w:rsid w:val="0869448C"/>
    <w:rsid w:val="092D0DA0"/>
    <w:rsid w:val="09A60DC8"/>
    <w:rsid w:val="09B259BF"/>
    <w:rsid w:val="09B45AED"/>
    <w:rsid w:val="0A6749FB"/>
    <w:rsid w:val="0AAE6186"/>
    <w:rsid w:val="0AC67165"/>
    <w:rsid w:val="0BC30178"/>
    <w:rsid w:val="0BFF5E77"/>
    <w:rsid w:val="0C2A29A4"/>
    <w:rsid w:val="0C2A3F33"/>
    <w:rsid w:val="0CEF3BCF"/>
    <w:rsid w:val="0D2C1E01"/>
    <w:rsid w:val="0D48515F"/>
    <w:rsid w:val="0EA45715"/>
    <w:rsid w:val="0F20658D"/>
    <w:rsid w:val="0F52548F"/>
    <w:rsid w:val="0F557518"/>
    <w:rsid w:val="0F5C3779"/>
    <w:rsid w:val="0F5E67C6"/>
    <w:rsid w:val="0F825F10"/>
    <w:rsid w:val="10EB5C35"/>
    <w:rsid w:val="11916758"/>
    <w:rsid w:val="11DF756D"/>
    <w:rsid w:val="12174F59"/>
    <w:rsid w:val="1252366F"/>
    <w:rsid w:val="131D3603"/>
    <w:rsid w:val="14D50B11"/>
    <w:rsid w:val="14ED1FA1"/>
    <w:rsid w:val="150A49B0"/>
    <w:rsid w:val="174878D6"/>
    <w:rsid w:val="18231181"/>
    <w:rsid w:val="18A05273"/>
    <w:rsid w:val="19152A22"/>
    <w:rsid w:val="19745BEB"/>
    <w:rsid w:val="1A293A7B"/>
    <w:rsid w:val="1B067919"/>
    <w:rsid w:val="1C0E1F77"/>
    <w:rsid w:val="1C836FA7"/>
    <w:rsid w:val="1C9378D2"/>
    <w:rsid w:val="1CC47DA2"/>
    <w:rsid w:val="1D64689E"/>
    <w:rsid w:val="1DAF7475"/>
    <w:rsid w:val="1E3F4283"/>
    <w:rsid w:val="1F3C7DAD"/>
    <w:rsid w:val="1F6966C8"/>
    <w:rsid w:val="1F96088F"/>
    <w:rsid w:val="20065D2D"/>
    <w:rsid w:val="20910039"/>
    <w:rsid w:val="217A0641"/>
    <w:rsid w:val="229E7CA9"/>
    <w:rsid w:val="23F93A83"/>
    <w:rsid w:val="240B50D4"/>
    <w:rsid w:val="25021151"/>
    <w:rsid w:val="250E527E"/>
    <w:rsid w:val="26377520"/>
    <w:rsid w:val="26997893"/>
    <w:rsid w:val="27795109"/>
    <w:rsid w:val="279369D8"/>
    <w:rsid w:val="27B91974"/>
    <w:rsid w:val="27FC7429"/>
    <w:rsid w:val="281A6AD8"/>
    <w:rsid w:val="2A1452EB"/>
    <w:rsid w:val="2A720FDA"/>
    <w:rsid w:val="2A815D05"/>
    <w:rsid w:val="2ADD34EF"/>
    <w:rsid w:val="2B073965"/>
    <w:rsid w:val="2BA70CA4"/>
    <w:rsid w:val="2CA13945"/>
    <w:rsid w:val="2CCC5D25"/>
    <w:rsid w:val="2D4D7629"/>
    <w:rsid w:val="2D7128DC"/>
    <w:rsid w:val="2E3056D2"/>
    <w:rsid w:val="2EB4055E"/>
    <w:rsid w:val="31605B7D"/>
    <w:rsid w:val="31743AA0"/>
    <w:rsid w:val="31FC5C41"/>
    <w:rsid w:val="32942010"/>
    <w:rsid w:val="32A732B7"/>
    <w:rsid w:val="32F72511"/>
    <w:rsid w:val="33C27B28"/>
    <w:rsid w:val="344E7B44"/>
    <w:rsid w:val="34825E0A"/>
    <w:rsid w:val="34B64C34"/>
    <w:rsid w:val="353A66E5"/>
    <w:rsid w:val="35B72FF0"/>
    <w:rsid w:val="36075949"/>
    <w:rsid w:val="370F7CB7"/>
    <w:rsid w:val="378E0F6A"/>
    <w:rsid w:val="38114D8C"/>
    <w:rsid w:val="382C6294"/>
    <w:rsid w:val="38402264"/>
    <w:rsid w:val="38494639"/>
    <w:rsid w:val="38922426"/>
    <w:rsid w:val="38DF7CCF"/>
    <w:rsid w:val="392A3477"/>
    <w:rsid w:val="3B11567A"/>
    <w:rsid w:val="3B561D9F"/>
    <w:rsid w:val="3BBA6143"/>
    <w:rsid w:val="3C0042C6"/>
    <w:rsid w:val="3D7A6218"/>
    <w:rsid w:val="3E893536"/>
    <w:rsid w:val="3E9148B4"/>
    <w:rsid w:val="3F0F6A1B"/>
    <w:rsid w:val="3F211237"/>
    <w:rsid w:val="3FEA0D08"/>
    <w:rsid w:val="40C90243"/>
    <w:rsid w:val="410D73A4"/>
    <w:rsid w:val="428611BC"/>
    <w:rsid w:val="43252782"/>
    <w:rsid w:val="43A001CA"/>
    <w:rsid w:val="458331A6"/>
    <w:rsid w:val="45CD1909"/>
    <w:rsid w:val="468477C0"/>
    <w:rsid w:val="46DE51CD"/>
    <w:rsid w:val="48B72A64"/>
    <w:rsid w:val="49B77EAC"/>
    <w:rsid w:val="49E0309E"/>
    <w:rsid w:val="4A45195C"/>
    <w:rsid w:val="4BBB7FFE"/>
    <w:rsid w:val="4BE677EA"/>
    <w:rsid w:val="4C850648"/>
    <w:rsid w:val="4DAB41CC"/>
    <w:rsid w:val="4DBF1DBB"/>
    <w:rsid w:val="4DDA6DAB"/>
    <w:rsid w:val="4E427F6E"/>
    <w:rsid w:val="4FEA004A"/>
    <w:rsid w:val="50312D9F"/>
    <w:rsid w:val="50A266C4"/>
    <w:rsid w:val="51894356"/>
    <w:rsid w:val="52A85EA1"/>
    <w:rsid w:val="52C97E8E"/>
    <w:rsid w:val="52E22421"/>
    <w:rsid w:val="538C05FC"/>
    <w:rsid w:val="54305A26"/>
    <w:rsid w:val="544739C2"/>
    <w:rsid w:val="544A1D81"/>
    <w:rsid w:val="547810FE"/>
    <w:rsid w:val="550C5017"/>
    <w:rsid w:val="562528DD"/>
    <w:rsid w:val="565A2ED4"/>
    <w:rsid w:val="584155DE"/>
    <w:rsid w:val="5866766D"/>
    <w:rsid w:val="594166C6"/>
    <w:rsid w:val="595059E9"/>
    <w:rsid w:val="596C2616"/>
    <w:rsid w:val="5A9E6C31"/>
    <w:rsid w:val="5B44356A"/>
    <w:rsid w:val="5C2C472A"/>
    <w:rsid w:val="5C367357"/>
    <w:rsid w:val="5C646889"/>
    <w:rsid w:val="5C9A677B"/>
    <w:rsid w:val="5D0A7232"/>
    <w:rsid w:val="5D850596"/>
    <w:rsid w:val="5DFE17E4"/>
    <w:rsid w:val="5E224037"/>
    <w:rsid w:val="5ECB647C"/>
    <w:rsid w:val="5EEC2C84"/>
    <w:rsid w:val="5F6205DF"/>
    <w:rsid w:val="60AE1BB1"/>
    <w:rsid w:val="6138147B"/>
    <w:rsid w:val="61954B1F"/>
    <w:rsid w:val="619C1A0A"/>
    <w:rsid w:val="61A27E95"/>
    <w:rsid w:val="62370242"/>
    <w:rsid w:val="626B762E"/>
    <w:rsid w:val="62C21944"/>
    <w:rsid w:val="632E2B36"/>
    <w:rsid w:val="63462B00"/>
    <w:rsid w:val="63674FF9"/>
    <w:rsid w:val="63A46E21"/>
    <w:rsid w:val="6500276E"/>
    <w:rsid w:val="65143FAD"/>
    <w:rsid w:val="652310DA"/>
    <w:rsid w:val="654B4848"/>
    <w:rsid w:val="65B42DE5"/>
    <w:rsid w:val="662511D8"/>
    <w:rsid w:val="663744F4"/>
    <w:rsid w:val="66805D9E"/>
    <w:rsid w:val="66F325A9"/>
    <w:rsid w:val="66FE3167"/>
    <w:rsid w:val="67696832"/>
    <w:rsid w:val="680622D3"/>
    <w:rsid w:val="6841701F"/>
    <w:rsid w:val="68894141"/>
    <w:rsid w:val="68C47A98"/>
    <w:rsid w:val="68E72104"/>
    <w:rsid w:val="690D6FB5"/>
    <w:rsid w:val="69861317"/>
    <w:rsid w:val="6A0665BA"/>
    <w:rsid w:val="6A136F29"/>
    <w:rsid w:val="6A5633C7"/>
    <w:rsid w:val="6AF26B3F"/>
    <w:rsid w:val="6AF705F9"/>
    <w:rsid w:val="6CB70F1F"/>
    <w:rsid w:val="6D2426CB"/>
    <w:rsid w:val="6DEC3EF9"/>
    <w:rsid w:val="6E7432C7"/>
    <w:rsid w:val="6F881A38"/>
    <w:rsid w:val="6FD26F3F"/>
    <w:rsid w:val="705C68C1"/>
    <w:rsid w:val="70A87493"/>
    <w:rsid w:val="70BA1EAD"/>
    <w:rsid w:val="71060F75"/>
    <w:rsid w:val="725531A4"/>
    <w:rsid w:val="72C26407"/>
    <w:rsid w:val="736435F2"/>
    <w:rsid w:val="73B86A7B"/>
    <w:rsid w:val="74E73935"/>
    <w:rsid w:val="75025254"/>
    <w:rsid w:val="75B570E6"/>
    <w:rsid w:val="7662101C"/>
    <w:rsid w:val="770772D3"/>
    <w:rsid w:val="77BFD517"/>
    <w:rsid w:val="77D25D2E"/>
    <w:rsid w:val="7866420E"/>
    <w:rsid w:val="78E353DE"/>
    <w:rsid w:val="79B90747"/>
    <w:rsid w:val="7A8B2F1F"/>
    <w:rsid w:val="7B9D4CFB"/>
    <w:rsid w:val="7BAB22AB"/>
    <w:rsid w:val="7BDB7E7C"/>
    <w:rsid w:val="7C6A15B3"/>
    <w:rsid w:val="7CC869E7"/>
    <w:rsid w:val="7D103724"/>
    <w:rsid w:val="7D5F01A3"/>
    <w:rsid w:val="7DBE2A59"/>
    <w:rsid w:val="7E6635D4"/>
    <w:rsid w:val="7E6C30BF"/>
    <w:rsid w:val="8BF3D5E7"/>
    <w:rsid w:val="D79734E1"/>
    <w:rsid w:val="D7FEC7B7"/>
    <w:rsid w:val="DFDFF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1695</Words>
  <Characters>1774</Characters>
  <Lines>66</Lines>
  <Paragraphs>57</Paragraphs>
  <TotalTime>64</TotalTime>
  <ScaleCrop>false</ScaleCrop>
  <LinksUpToDate>false</LinksUpToDate>
  <CharactersWithSpaces>1907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2025-12-24T01:57:00Z</dcterms:created>
  <dc:creator>Niki</dc:creator>
  <cp:lastModifiedBy>Lyy</cp:lastModifiedBy>
  <cp:lastPrinted>2024-06-05T19:55:00Z</cp:lastPrinted>
  <dcterms:modified xsi:type="dcterms:W3CDTF">2026-01-30T04:10:46Z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DAE84E61E72B48A2B87F0389236E313E_13</vt:lpwstr>
  </property>
  <property fmtid="{D5CDD505-2E9C-101B-9397-08002B2CF9AE}" pid="4" name="KSOTemplateDocerSaveRecord">
    <vt:lpwstr>eyJoZGlkIjoiMDQ4MTkzNzI5ODgxZWVlYmJjZjk4MDBiNDE1NzdkZTkiLCJ1c2VySWQiOiIzNzkwOTMxODAifQ==</vt:lpwstr>
  </property>
</Properties>
</file>