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1E843">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color w:val="auto"/>
        </w:rPr>
      </w:pPr>
      <w:r>
        <w:rPr>
          <w:rFonts w:hint="eastAsia" w:ascii="微软雅黑" w:hAnsi="微软雅黑" w:eastAsia="微软雅黑" w:cs="微软雅黑"/>
          <w:b w:val="0"/>
          <w:bCs/>
          <w:color w:val="auto"/>
          <w:sz w:val="52"/>
          <w:szCs w:val="52"/>
        </w:rPr>
        <w:t>厂房租赁合同</w:t>
      </w:r>
    </w:p>
    <w:p w14:paraId="7E1D1D9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3" w:firstLineChars="200"/>
        <w:jc w:val="left"/>
        <w:textAlignment w:val="auto"/>
        <w:rPr>
          <w:rFonts w:hint="eastAsia" w:ascii="仿宋" w:hAnsi="仿宋" w:eastAsia="仿宋" w:cs="仿宋"/>
          <w:b/>
          <w:bCs/>
          <w:color w:val="auto"/>
          <w:sz w:val="32"/>
          <w:szCs w:val="32"/>
          <w:lang w:eastAsia="zh-CN"/>
        </w:rPr>
      </w:pPr>
    </w:p>
    <w:p w14:paraId="76AFBDF2">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bCs/>
          <w:color w:val="auto"/>
          <w:sz w:val="32"/>
          <w:szCs w:val="32"/>
          <w:lang w:eastAsia="zh-CN"/>
        </w:rPr>
        <w:t>甲方（出租方）：</w:t>
      </w:r>
      <w:r>
        <w:rPr>
          <w:rFonts w:hint="eastAsia" w:ascii="仿宋" w:hAnsi="仿宋" w:eastAsia="仿宋" w:cs="仿宋"/>
          <w:b w:val="0"/>
          <w:bCs w:val="0"/>
          <w:color w:val="auto"/>
          <w:sz w:val="32"/>
          <w:szCs w:val="32"/>
          <w:lang w:val="en-US" w:eastAsia="zh-CN"/>
        </w:rPr>
        <w:t xml:space="preserve"> </w:t>
      </w:r>
    </w:p>
    <w:p w14:paraId="03558875">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统一社会信用代码：</w:t>
      </w:r>
      <w:r>
        <w:rPr>
          <w:rFonts w:hint="eastAsia" w:ascii="仿宋" w:hAnsi="仿宋" w:eastAsia="仿宋" w:cs="仿宋"/>
          <w:b w:val="0"/>
          <w:bCs w:val="0"/>
          <w:color w:val="auto"/>
          <w:sz w:val="32"/>
          <w:szCs w:val="32"/>
          <w:lang w:val="en-US" w:eastAsia="zh-CN"/>
        </w:rPr>
        <w:t xml:space="preserve"> </w:t>
      </w:r>
    </w:p>
    <w:p w14:paraId="046FD6FC">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负责人：陈伟健</w:t>
      </w:r>
    </w:p>
    <w:p w14:paraId="14D2145C">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地址：惠州市麦兴19号</w:t>
      </w:r>
    </w:p>
    <w:p w14:paraId="1069C227">
      <w:pPr>
        <w:keepNext w:val="0"/>
        <w:keepLines w:val="0"/>
        <w:pageBreakBefore w:val="0"/>
        <w:widowControl w:val="0"/>
        <w:kinsoku/>
        <w:overflowPunct/>
        <w:topLinePunct w:val="0"/>
        <w:autoSpaceDE/>
        <w:autoSpaceDN/>
        <w:bidi w:val="0"/>
        <w:adjustRightInd/>
        <w:snapToGrid/>
        <w:ind w:left="0" w:leftChars="0" w:right="0" w:rightChars="0" w:firstLine="480" w:firstLineChars="200"/>
        <w:textAlignment w:val="auto"/>
        <w:rPr>
          <w:rFonts w:hint="eastAsia"/>
          <w:color w:val="auto"/>
          <w:lang w:val="en-US" w:eastAsia="zh-CN"/>
        </w:rPr>
      </w:pPr>
    </w:p>
    <w:p w14:paraId="6775FE00">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乙方（承租方）：</w:t>
      </w:r>
    </w:p>
    <w:p w14:paraId="43D9FB7A">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统一社会信用代码：</w:t>
      </w:r>
    </w:p>
    <w:p w14:paraId="30443D18">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法定代表人：</w:t>
      </w:r>
    </w:p>
    <w:p w14:paraId="2DEB8B47">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地址：</w:t>
      </w:r>
    </w:p>
    <w:p w14:paraId="2C9B79C3">
      <w:pPr>
        <w:keepNext w:val="0"/>
        <w:keepLines w:val="0"/>
        <w:pageBreakBefore w:val="0"/>
        <w:widowControl w:val="0"/>
        <w:kinsoku/>
        <w:overflowPunct/>
        <w:topLinePunct w:val="0"/>
        <w:autoSpaceDE/>
        <w:autoSpaceDN/>
        <w:bidi w:val="0"/>
        <w:adjustRightInd/>
        <w:snapToGrid/>
        <w:ind w:left="0" w:leftChars="0" w:right="0" w:rightChars="0" w:firstLine="480" w:firstLineChars="200"/>
        <w:textAlignment w:val="auto"/>
        <w:rPr>
          <w:rFonts w:hint="eastAsia"/>
          <w:color w:val="auto"/>
          <w:lang w:val="en-US" w:eastAsia="zh-CN"/>
        </w:rPr>
      </w:pPr>
    </w:p>
    <w:p w14:paraId="03F2B7AD">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tl w:val="0"/>
          <w:lang w:val="en-US" w:eastAsia="zh-CN"/>
        </w:rPr>
        <w:t>甲乙双方本着平等互利的原则，就甲方将其具有出租权的物业出租给乙方之事宜，为明确双方权利义务与责任</w:t>
      </w:r>
      <w:r>
        <w:rPr>
          <w:rFonts w:hint="eastAsia" w:ascii="仿宋" w:hAnsi="仿宋" w:eastAsia="仿宋" w:cs="仿宋"/>
          <w:color w:val="auto"/>
          <w:sz w:val="32"/>
          <w:szCs w:val="32"/>
          <w:rtl w:val="0"/>
          <w:lang w:val="zh-TW" w:eastAsia="zh-TW"/>
        </w:rPr>
        <w:t>，</w:t>
      </w:r>
      <w:r>
        <w:rPr>
          <w:rFonts w:hint="eastAsia" w:ascii="仿宋" w:hAnsi="仿宋" w:eastAsia="仿宋" w:cs="仿宋"/>
          <w:color w:val="auto"/>
          <w:sz w:val="32"/>
          <w:szCs w:val="32"/>
          <w:rtl w:val="0"/>
          <w:lang w:val="en-US" w:eastAsia="zh-CN"/>
        </w:rPr>
        <w:t>根据《</w:t>
      </w:r>
      <w:r>
        <w:rPr>
          <w:rFonts w:hint="eastAsia" w:ascii="仿宋" w:hAnsi="仿宋" w:eastAsia="仿宋" w:cs="仿宋"/>
          <w:color w:val="auto"/>
          <w:sz w:val="32"/>
          <w:szCs w:val="32"/>
          <w:rtl w:val="0"/>
          <w:lang w:val="zh-TW" w:eastAsia="zh-TW"/>
        </w:rPr>
        <w:t>中华人民共和国民法典</w:t>
      </w:r>
      <w:r>
        <w:rPr>
          <w:rFonts w:hint="eastAsia" w:ascii="仿宋" w:hAnsi="仿宋" w:eastAsia="仿宋" w:cs="仿宋"/>
          <w:color w:val="auto"/>
          <w:sz w:val="32"/>
          <w:szCs w:val="32"/>
          <w:rtl w:val="0"/>
          <w:lang w:val="en-US" w:eastAsia="zh-CN"/>
        </w:rPr>
        <w:t>》及相关法律法规</w:t>
      </w:r>
      <w:r>
        <w:rPr>
          <w:rFonts w:hint="eastAsia" w:ascii="仿宋" w:hAnsi="仿宋" w:eastAsia="仿宋" w:cs="仿宋"/>
          <w:color w:val="auto"/>
          <w:sz w:val="32"/>
          <w:szCs w:val="32"/>
          <w:rtl w:val="0"/>
          <w:lang w:val="zh-TW" w:eastAsia="zh-TW"/>
        </w:rPr>
        <w:t>，</w:t>
      </w:r>
      <w:r>
        <w:rPr>
          <w:rFonts w:hint="eastAsia" w:ascii="仿宋" w:hAnsi="仿宋" w:eastAsia="仿宋" w:cs="仿宋"/>
          <w:color w:val="auto"/>
          <w:sz w:val="32"/>
          <w:szCs w:val="32"/>
          <w:rtl w:val="0"/>
          <w:lang w:val="en-US" w:eastAsia="zh-CN"/>
        </w:rPr>
        <w:t>签订本租赁合同如下</w:t>
      </w:r>
      <w:r>
        <w:rPr>
          <w:rFonts w:hint="eastAsia" w:ascii="仿宋" w:hAnsi="仿宋" w:eastAsia="仿宋" w:cs="仿宋"/>
          <w:color w:val="auto"/>
          <w:sz w:val="32"/>
          <w:szCs w:val="32"/>
          <w:rtl w:val="0"/>
          <w:lang w:val="zh-TW" w:eastAsia="zh-TW"/>
        </w:rPr>
        <w:t>：</w:t>
      </w:r>
    </w:p>
    <w:p w14:paraId="45753BF9">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3"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b/>
          <w:color w:val="auto"/>
          <w:sz w:val="32"/>
          <w:szCs w:val="32"/>
        </w:rPr>
        <w:t>一、厂房的位置</w:t>
      </w: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rPr>
        <w:t>租赁</w:t>
      </w:r>
      <w:r>
        <w:rPr>
          <w:rFonts w:hint="eastAsia" w:ascii="仿宋" w:hAnsi="仿宋" w:eastAsia="仿宋" w:cs="仿宋"/>
          <w:b/>
          <w:color w:val="auto"/>
          <w:sz w:val="32"/>
          <w:szCs w:val="32"/>
          <w:lang w:val="en-US" w:eastAsia="zh-CN"/>
        </w:rPr>
        <w:t>范围及相关设施设备</w:t>
      </w:r>
    </w:p>
    <w:p w14:paraId="07962A73">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甲方租赁给乙方的厂房位于惠州市三栋镇陶前村</w:t>
      </w:r>
      <w:r>
        <w:rPr>
          <w:rFonts w:hint="eastAsia" w:ascii="仿宋" w:hAnsi="仿宋" w:eastAsia="仿宋" w:cs="仿宋"/>
          <w:color w:val="auto"/>
          <w:sz w:val="32"/>
          <w:szCs w:val="32"/>
          <w:lang w:eastAsia="zh-CN"/>
        </w:rPr>
        <w:t>泰福路</w:t>
      </w:r>
      <w:r>
        <w:rPr>
          <w:rFonts w:hint="eastAsia" w:ascii="仿宋" w:hAnsi="仿宋" w:eastAsia="仿宋" w:cs="仿宋"/>
          <w:color w:val="auto"/>
          <w:sz w:val="32"/>
          <w:szCs w:val="32"/>
          <w:lang w:val="en-US" w:eastAsia="zh-CN"/>
        </w:rPr>
        <w:t>14号（</w:t>
      </w:r>
      <w:r>
        <w:rPr>
          <w:rFonts w:hint="eastAsia" w:ascii="仿宋" w:hAnsi="仿宋" w:eastAsia="仿宋" w:cs="仿宋"/>
          <w:color w:val="auto"/>
          <w:sz w:val="32"/>
          <w:szCs w:val="32"/>
        </w:rPr>
        <w:t>桥西工业园</w:t>
      </w:r>
      <w:r>
        <w:rPr>
          <w:rFonts w:hint="eastAsia" w:ascii="仿宋" w:hAnsi="仿宋" w:eastAsia="仿宋" w:cs="仿宋"/>
          <w:color w:val="auto"/>
          <w:sz w:val="32"/>
          <w:szCs w:val="32"/>
          <w:lang w:val="en-US" w:eastAsia="zh-CN"/>
        </w:rPr>
        <w:t>北</w:t>
      </w:r>
      <w:r>
        <w:rPr>
          <w:rFonts w:hint="eastAsia" w:ascii="仿宋" w:hAnsi="仿宋" w:eastAsia="仿宋" w:cs="仿宋"/>
          <w:color w:val="auto"/>
          <w:sz w:val="32"/>
          <w:szCs w:val="32"/>
        </w:rPr>
        <w:t>区</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w:t>
      </w:r>
    </w:p>
    <w:p w14:paraId="05612783">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2、乙方承租的范围为工业园区的</w:t>
      </w:r>
      <w:r>
        <w:rPr>
          <w:rFonts w:hint="eastAsia" w:ascii="仿宋" w:hAnsi="仿宋" w:eastAsia="仿宋" w:cs="仿宋"/>
          <w:color w:val="auto"/>
          <w:sz w:val="32"/>
          <w:szCs w:val="32"/>
        </w:rPr>
        <w:t>厂房</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宿舍及其他配套：</w:t>
      </w:r>
    </w:p>
    <w:p w14:paraId="6124A431">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①厂房</w:t>
      </w:r>
      <w:r>
        <w:rPr>
          <w:rFonts w:hint="eastAsia" w:ascii="仿宋" w:hAnsi="仿宋" w:eastAsia="仿宋" w:cs="仿宋"/>
          <w:color w:val="auto"/>
          <w:sz w:val="32"/>
          <w:szCs w:val="32"/>
        </w:rPr>
        <w:t>建筑面积</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平方米</w:t>
      </w:r>
      <w:r>
        <w:rPr>
          <w:rFonts w:hint="eastAsia" w:ascii="仿宋" w:hAnsi="仿宋" w:eastAsia="仿宋" w:cs="仿宋"/>
          <w:color w:val="auto"/>
          <w:sz w:val="32"/>
          <w:szCs w:val="32"/>
          <w:lang w:eastAsia="zh-CN"/>
        </w:rPr>
        <w:t>；</w:t>
      </w:r>
    </w:p>
    <w:p w14:paraId="638B3AAE">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②</w:t>
      </w:r>
      <w:r>
        <w:rPr>
          <w:rFonts w:hint="eastAsia" w:ascii="仿宋" w:hAnsi="仿宋" w:eastAsia="仿宋" w:cs="仿宋"/>
          <w:color w:val="auto"/>
          <w:sz w:val="32"/>
          <w:szCs w:val="32"/>
        </w:rPr>
        <w:t>宿舍</w:t>
      </w:r>
      <w:r>
        <w:rPr>
          <w:rFonts w:hint="eastAsia" w:ascii="仿宋" w:hAnsi="仿宋" w:eastAsia="仿宋" w:cs="仿宋"/>
          <w:color w:val="auto"/>
          <w:sz w:val="32"/>
          <w:szCs w:val="32"/>
          <w:lang w:val="en-US" w:eastAsia="zh-CN"/>
        </w:rPr>
        <w:t>5-6层</w:t>
      </w:r>
      <w:r>
        <w:rPr>
          <w:rFonts w:hint="eastAsia" w:ascii="仿宋" w:hAnsi="仿宋" w:eastAsia="仿宋" w:cs="仿宋"/>
          <w:color w:val="auto"/>
          <w:sz w:val="32"/>
          <w:szCs w:val="32"/>
        </w:rPr>
        <w:t>建筑面积</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平方米；</w:t>
      </w:r>
    </w:p>
    <w:p w14:paraId="604C0312">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③其他配套房</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平方米。</w:t>
      </w:r>
    </w:p>
    <w:p w14:paraId="4B082EE6">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总租赁主体厂房（含宿舍及</w:t>
      </w:r>
      <w:r>
        <w:rPr>
          <w:rFonts w:hint="eastAsia" w:ascii="仿宋" w:hAnsi="仿宋" w:eastAsia="仿宋" w:cs="仿宋"/>
          <w:color w:val="auto"/>
          <w:sz w:val="32"/>
          <w:szCs w:val="32"/>
          <w:lang w:eastAsia="zh-CN"/>
        </w:rPr>
        <w:t>其他配</w:t>
      </w:r>
      <w:r>
        <w:rPr>
          <w:rFonts w:hint="eastAsia" w:ascii="仿宋" w:hAnsi="仿宋" w:eastAsia="仿宋" w:cs="仿宋"/>
          <w:color w:val="auto"/>
          <w:sz w:val="32"/>
          <w:szCs w:val="32"/>
        </w:rPr>
        <w:t>套房）面积</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平方米。</w:t>
      </w:r>
    </w:p>
    <w:p w14:paraId="3A3425BB">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3、现有设施设备，见《设施设备财产清单》。</w:t>
      </w:r>
    </w:p>
    <w:p w14:paraId="26D38EAE">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3" w:firstLineChars="200"/>
        <w:jc w:val="both"/>
        <w:textAlignment w:val="auto"/>
        <w:rPr>
          <w:rFonts w:hint="eastAsia" w:ascii="仿宋" w:hAnsi="仿宋" w:eastAsia="仿宋" w:cs="仿宋"/>
          <w:b/>
          <w:color w:val="auto"/>
          <w:sz w:val="32"/>
          <w:szCs w:val="32"/>
        </w:rPr>
      </w:pPr>
    </w:p>
    <w:p w14:paraId="21425BCB">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二、租赁期限</w:t>
      </w:r>
    </w:p>
    <w:p w14:paraId="0D3B0CDC">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厂房租赁期限为</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en-US" w:eastAsia="zh-CN"/>
        </w:rPr>
        <w:t>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日起至</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日止。</w:t>
      </w:r>
    </w:p>
    <w:p w14:paraId="3AEF2959">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至</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共</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en-US" w:eastAsia="zh-CN"/>
        </w:rPr>
        <w:t>个月为合同免租期。从</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起计算租金。</w:t>
      </w:r>
    </w:p>
    <w:p w14:paraId="1A26A10D">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3" w:firstLineChars="200"/>
        <w:jc w:val="both"/>
        <w:textAlignment w:val="auto"/>
        <w:rPr>
          <w:rFonts w:hint="default" w:ascii="仿宋" w:hAnsi="仿宋" w:eastAsia="仿宋" w:cs="仿宋"/>
          <w:b/>
          <w:color w:val="auto"/>
          <w:sz w:val="32"/>
          <w:szCs w:val="32"/>
          <w:lang w:val="en-US" w:eastAsia="zh-CN"/>
        </w:rPr>
      </w:pPr>
      <w:r>
        <w:rPr>
          <w:rFonts w:hint="eastAsia" w:ascii="仿宋" w:hAnsi="仿宋" w:eastAsia="仿宋" w:cs="仿宋"/>
          <w:b/>
          <w:color w:val="auto"/>
          <w:sz w:val="32"/>
          <w:szCs w:val="32"/>
        </w:rPr>
        <w:t>三、租金</w:t>
      </w:r>
      <w:r>
        <w:rPr>
          <w:rFonts w:hint="eastAsia" w:ascii="仿宋" w:hAnsi="仿宋" w:eastAsia="仿宋" w:cs="仿宋"/>
          <w:b/>
          <w:color w:val="auto"/>
          <w:sz w:val="32"/>
          <w:szCs w:val="32"/>
          <w:lang w:val="en-US" w:eastAsia="zh-CN"/>
        </w:rPr>
        <w:t>标准、租赁保证金及支付方式</w:t>
      </w:r>
    </w:p>
    <w:p w14:paraId="4FAE8414">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3" w:firstLineChars="200"/>
        <w:jc w:val="both"/>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 xml:space="preserve">1. </w:t>
      </w:r>
      <w:r>
        <w:rPr>
          <w:rFonts w:hint="eastAsia" w:ascii="仿宋" w:hAnsi="仿宋" w:eastAsia="仿宋" w:cs="仿宋"/>
          <w:b/>
          <w:bCs/>
          <w:color w:val="auto"/>
          <w:sz w:val="32"/>
          <w:szCs w:val="32"/>
        </w:rPr>
        <w:t>租金标准</w:t>
      </w:r>
    </w:p>
    <w:p w14:paraId="1BF0211B">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主体厂房</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宿舍及附属配套房</w:t>
      </w:r>
      <w:r>
        <w:rPr>
          <w:rFonts w:hint="eastAsia" w:ascii="仿宋" w:hAnsi="仿宋" w:eastAsia="仿宋" w:cs="仿宋"/>
          <w:color w:val="auto"/>
          <w:sz w:val="32"/>
          <w:szCs w:val="32"/>
          <w:lang w:val="en-US" w:eastAsia="zh-CN"/>
        </w:rPr>
        <w:t>共10200.03平方米，</w:t>
      </w:r>
      <w:r>
        <w:rPr>
          <w:rFonts w:hint="eastAsia" w:ascii="仿宋" w:hAnsi="仿宋" w:eastAsia="仿宋" w:cs="仿宋"/>
          <w:color w:val="auto"/>
          <w:sz w:val="32"/>
          <w:szCs w:val="32"/>
        </w:rPr>
        <w:t>租金为每月每平方米人民币</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每三年届满后递增10%，即：</w:t>
      </w:r>
    </w:p>
    <w:p w14:paraId="219E8A3A">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color w:val="auto"/>
          <w:sz w:val="32"/>
          <w:szCs w:val="32"/>
          <w:lang w:eastAsia="zh-CN"/>
        </w:rPr>
      </w:pPr>
      <w:r>
        <w:rPr>
          <w:rFonts w:hint="eastAsia" w:ascii="微软雅黑" w:hAnsi="微软雅黑" w:eastAsia="微软雅黑" w:cs="微软雅黑"/>
          <w:color w:val="auto"/>
          <w:sz w:val="32"/>
          <w:szCs w:val="32"/>
        </w:rPr>
        <w:t>①</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日日至</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日止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租金</w:t>
      </w:r>
      <w:r>
        <w:rPr>
          <w:rFonts w:hint="eastAsia" w:ascii="仿宋" w:hAnsi="仿宋" w:eastAsia="仿宋" w:cs="仿宋"/>
          <w:color w:val="auto"/>
          <w:sz w:val="32"/>
          <w:szCs w:val="32"/>
          <w:lang w:val="en-US" w:eastAsia="zh-CN"/>
        </w:rPr>
        <w:t>为</w:t>
      </w:r>
      <w:r>
        <w:rPr>
          <w:rFonts w:hint="eastAsia" w:ascii="仿宋" w:hAnsi="仿宋" w:eastAsia="仿宋" w:cs="仿宋"/>
          <w:color w:val="auto"/>
          <w:sz w:val="32"/>
          <w:szCs w:val="32"/>
        </w:rPr>
        <w:t>每月</w:t>
      </w:r>
      <w:r>
        <w:rPr>
          <w:rFonts w:hint="eastAsia" w:ascii="仿宋" w:hAnsi="仿宋" w:eastAsia="仿宋" w:cs="仿宋"/>
          <w:color w:val="auto"/>
          <w:sz w:val="32"/>
          <w:szCs w:val="32"/>
          <w:lang w:val="en-US" w:eastAsia="zh-CN"/>
        </w:rPr>
        <w:t>每平方米</w:t>
      </w:r>
      <w:r>
        <w:rPr>
          <w:rFonts w:hint="eastAsia" w:ascii="仿宋" w:hAnsi="仿宋" w:eastAsia="仿宋" w:cs="仿宋"/>
          <w:color w:val="auto"/>
          <w:sz w:val="32"/>
          <w:szCs w:val="32"/>
          <w:lang w:eastAsia="zh-CN"/>
        </w:rPr>
        <w:t>人民币</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每月租金共</w:t>
      </w:r>
      <w:r>
        <w:rPr>
          <w:rFonts w:hint="eastAsia" w:ascii="仿宋" w:hAnsi="仿宋" w:eastAsia="仿宋" w:cs="仿宋"/>
          <w:color w:val="auto"/>
          <w:sz w:val="32"/>
          <w:szCs w:val="32"/>
          <w:lang w:eastAsia="zh-CN"/>
        </w:rPr>
        <w:t>计人民币</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元（大写：</w:t>
      </w:r>
      <w:r>
        <w:rPr>
          <w:rFonts w:hint="eastAsia" w:ascii="仿宋" w:hAnsi="仿宋" w:eastAsia="仿宋" w:cs="仿宋"/>
          <w:color w:val="auto"/>
          <w:sz w:val="32"/>
          <w:szCs w:val="32"/>
          <w:lang w:eastAsia="zh-CN"/>
        </w:rPr>
        <w:t>人民币</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元整</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p>
    <w:p w14:paraId="433DB667">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color w:val="auto"/>
          <w:sz w:val="32"/>
          <w:szCs w:val="32"/>
          <w:lang w:eastAsia="zh-CN"/>
        </w:rPr>
      </w:pPr>
      <w:r>
        <w:rPr>
          <w:rFonts w:hint="eastAsia" w:ascii="微软雅黑" w:hAnsi="微软雅黑" w:eastAsia="微软雅黑" w:cs="微软雅黑"/>
          <w:color w:val="auto"/>
          <w:sz w:val="32"/>
          <w:szCs w:val="32"/>
          <w:lang w:val="en-US" w:eastAsia="zh-CN"/>
        </w:rPr>
        <w:t>②</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日至</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日止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租金为每月每平方米人民币</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每月租金共</w:t>
      </w:r>
      <w:r>
        <w:rPr>
          <w:rFonts w:hint="eastAsia" w:ascii="仿宋" w:hAnsi="仿宋" w:eastAsia="仿宋" w:cs="仿宋"/>
          <w:color w:val="auto"/>
          <w:sz w:val="32"/>
          <w:szCs w:val="32"/>
          <w:lang w:eastAsia="zh-CN"/>
        </w:rPr>
        <w:t>计人民币</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元（大写：</w:t>
      </w:r>
      <w:r>
        <w:rPr>
          <w:rFonts w:hint="eastAsia" w:ascii="仿宋" w:hAnsi="仿宋" w:eastAsia="仿宋" w:cs="仿宋"/>
          <w:color w:val="auto"/>
          <w:sz w:val="32"/>
          <w:szCs w:val="32"/>
          <w:lang w:eastAsia="zh-CN"/>
        </w:rPr>
        <w:t>人民币</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元整</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p>
    <w:p w14:paraId="16BB850B">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color w:val="auto"/>
          <w:sz w:val="32"/>
          <w:szCs w:val="32"/>
          <w:lang w:eastAsia="zh-CN"/>
        </w:rPr>
      </w:pPr>
      <w:r>
        <w:rPr>
          <w:rFonts w:hint="eastAsia" w:ascii="微软雅黑" w:hAnsi="微软雅黑" w:eastAsia="微软雅黑" w:cs="微软雅黑"/>
          <w:color w:val="auto"/>
          <w:sz w:val="32"/>
          <w:szCs w:val="32"/>
          <w:lang w:val="en-US" w:eastAsia="zh-CN"/>
        </w:rPr>
        <w:t>③</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日至</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日止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租金为每月每平方米人民币</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每月租金共</w:t>
      </w:r>
      <w:r>
        <w:rPr>
          <w:rFonts w:hint="eastAsia" w:ascii="仿宋" w:hAnsi="仿宋" w:eastAsia="仿宋" w:cs="仿宋"/>
          <w:color w:val="auto"/>
          <w:sz w:val="32"/>
          <w:szCs w:val="32"/>
          <w:lang w:eastAsia="zh-CN"/>
        </w:rPr>
        <w:t>计人民币</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元（大写：</w:t>
      </w:r>
      <w:r>
        <w:rPr>
          <w:rFonts w:hint="eastAsia" w:ascii="仿宋" w:hAnsi="仿宋" w:eastAsia="仿宋" w:cs="仿宋"/>
          <w:color w:val="auto"/>
          <w:sz w:val="32"/>
          <w:szCs w:val="32"/>
          <w:lang w:eastAsia="zh-CN"/>
        </w:rPr>
        <w:t>人民币</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元整</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p>
    <w:p w14:paraId="0BB2069D">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微软雅黑" w:hAnsi="微软雅黑" w:eastAsia="微软雅黑" w:cs="微软雅黑"/>
          <w:color w:val="auto"/>
          <w:sz w:val="32"/>
          <w:szCs w:val="32"/>
          <w:lang w:val="en-US" w:eastAsia="zh-CN"/>
        </w:rPr>
        <w:t>④</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日至</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日止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租金为每月每平方米人民币</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每月租金共</w:t>
      </w:r>
      <w:r>
        <w:rPr>
          <w:rFonts w:hint="eastAsia" w:ascii="仿宋" w:hAnsi="仿宋" w:eastAsia="仿宋" w:cs="仿宋"/>
          <w:color w:val="auto"/>
          <w:sz w:val="32"/>
          <w:szCs w:val="32"/>
          <w:lang w:eastAsia="zh-CN"/>
        </w:rPr>
        <w:t>计人民币</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元（大写：</w:t>
      </w:r>
      <w:r>
        <w:rPr>
          <w:rFonts w:hint="eastAsia" w:ascii="仿宋" w:hAnsi="仿宋" w:eastAsia="仿宋" w:cs="仿宋"/>
          <w:color w:val="auto"/>
          <w:sz w:val="32"/>
          <w:szCs w:val="32"/>
          <w:lang w:eastAsia="zh-CN"/>
        </w:rPr>
        <w:t>人民币</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元整</w:t>
      </w:r>
      <w:r>
        <w:rPr>
          <w:rFonts w:hint="eastAsia" w:ascii="仿宋" w:hAnsi="仿宋" w:eastAsia="仿宋" w:cs="仿宋"/>
          <w:color w:val="auto"/>
          <w:sz w:val="32"/>
          <w:szCs w:val="32"/>
        </w:rPr>
        <w:t>）。</w:t>
      </w:r>
    </w:p>
    <w:p w14:paraId="5EDA3944">
      <w:pPr>
        <w:keepNext w:val="0"/>
        <w:keepLines w:val="0"/>
        <w:pageBreakBefore w:val="0"/>
        <w:widowControl w:val="0"/>
        <w:numPr>
          <w:ilvl w:val="0"/>
          <w:numId w:val="1"/>
        </w:numPr>
        <w:kinsoku/>
        <w:overflowPunct/>
        <w:topLinePunct w:val="0"/>
        <w:autoSpaceDE/>
        <w:autoSpaceDN/>
        <w:bidi w:val="0"/>
        <w:adjustRightInd/>
        <w:snapToGrid/>
        <w:spacing w:line="520" w:lineRule="exact"/>
        <w:ind w:left="0" w:leftChars="0" w:right="0" w:rightChars="0"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 xml:space="preserve">支付方式 </w:t>
      </w:r>
    </w:p>
    <w:p w14:paraId="4CD937D1">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乙方</w:t>
      </w:r>
      <w:r>
        <w:rPr>
          <w:rFonts w:hint="eastAsia" w:ascii="仿宋" w:hAnsi="仿宋" w:eastAsia="仿宋" w:cs="仿宋"/>
          <w:color w:val="auto"/>
          <w:sz w:val="32"/>
          <w:szCs w:val="32"/>
          <w:lang w:val="en-US" w:eastAsia="zh-CN"/>
        </w:rPr>
        <w:t>应于当月</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en-US" w:eastAsia="zh-CN"/>
        </w:rPr>
        <w:t>日前通过银行转账方式向甲方缴纳租金，甲方指定账户：</w:t>
      </w:r>
    </w:p>
    <w:p w14:paraId="584E1640">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开户名称：</w:t>
      </w:r>
      <w:r>
        <w:rPr>
          <w:rFonts w:hint="eastAsia" w:ascii="仿宋_GB2312" w:eastAsia="仿宋_GB2312"/>
          <w:color w:val="auto"/>
          <w:sz w:val="32"/>
          <w:szCs w:val="32"/>
          <w:u w:val="single"/>
          <w:lang w:eastAsia="zh-CN"/>
        </w:rPr>
        <w:t>惠州市光达实业有限公司</w:t>
      </w:r>
    </w:p>
    <w:p w14:paraId="30690B20">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开户银行：</w:t>
      </w:r>
      <w:r>
        <w:rPr>
          <w:rFonts w:hint="eastAsia" w:ascii="仿宋_GB2312" w:eastAsia="仿宋_GB2312"/>
          <w:color w:val="auto"/>
          <w:sz w:val="32"/>
          <w:szCs w:val="32"/>
          <w:u w:val="single"/>
          <w:lang w:eastAsia="zh-CN"/>
        </w:rPr>
        <w:t>农业银行惠州</w:t>
      </w:r>
      <w:r>
        <w:rPr>
          <w:rFonts w:hint="eastAsia" w:ascii="仿宋_GB2312" w:eastAsia="仿宋_GB2312"/>
          <w:color w:val="auto"/>
          <w:sz w:val="32"/>
          <w:szCs w:val="32"/>
          <w:u w:val="single"/>
          <w:lang w:val="en-US" w:eastAsia="zh-CN"/>
        </w:rPr>
        <w:t>三环</w:t>
      </w:r>
      <w:r>
        <w:rPr>
          <w:rFonts w:hint="eastAsia" w:ascii="仿宋_GB2312" w:eastAsia="仿宋_GB2312"/>
          <w:color w:val="auto"/>
          <w:sz w:val="32"/>
          <w:szCs w:val="32"/>
          <w:u w:val="single"/>
          <w:lang w:eastAsia="zh-CN"/>
        </w:rPr>
        <w:t>支行</w:t>
      </w:r>
    </w:p>
    <w:p w14:paraId="05EABC34">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账号：</w:t>
      </w:r>
      <w:r>
        <w:rPr>
          <w:rFonts w:hint="eastAsia" w:ascii="仿宋_GB2312" w:eastAsia="仿宋_GB2312"/>
          <w:color w:val="auto"/>
          <w:sz w:val="32"/>
          <w:szCs w:val="32"/>
          <w:u w:val="single"/>
          <w:lang w:val="en-US" w:eastAsia="zh-CN"/>
        </w:rPr>
        <w:t>44-226201040001895</w:t>
      </w:r>
    </w:p>
    <w:p w14:paraId="5609228E">
      <w:pPr>
        <w:keepNext w:val="0"/>
        <w:keepLines w:val="0"/>
        <w:pageBreakBefore w:val="0"/>
        <w:widowControl w:val="0"/>
        <w:numPr>
          <w:ilvl w:val="0"/>
          <w:numId w:val="1"/>
        </w:numPr>
        <w:kinsoku/>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本合同</w:t>
      </w:r>
      <w:r>
        <w:rPr>
          <w:rFonts w:hint="default" w:ascii="仿宋" w:hAnsi="仿宋" w:eastAsia="仿宋" w:cs="仿宋"/>
          <w:color w:val="auto"/>
          <w:sz w:val="32"/>
          <w:szCs w:val="32"/>
          <w:lang w:val="en-US" w:eastAsia="zh-CN"/>
        </w:rPr>
        <w:t>签订时，乙方</w:t>
      </w:r>
      <w:r>
        <w:rPr>
          <w:rFonts w:hint="eastAsia" w:ascii="仿宋" w:hAnsi="仿宋" w:eastAsia="仿宋" w:cs="仿宋"/>
          <w:color w:val="auto"/>
          <w:sz w:val="32"/>
          <w:szCs w:val="32"/>
          <w:lang w:val="en-US" w:eastAsia="zh-CN"/>
        </w:rPr>
        <w:t>需</w:t>
      </w:r>
      <w:r>
        <w:rPr>
          <w:rFonts w:hint="default" w:ascii="仿宋" w:hAnsi="仿宋" w:eastAsia="仿宋" w:cs="仿宋"/>
          <w:color w:val="auto"/>
          <w:sz w:val="32"/>
          <w:szCs w:val="32"/>
          <w:lang w:val="en-US" w:eastAsia="zh-CN"/>
        </w:rPr>
        <w:t>向甲方</w:t>
      </w:r>
      <w:r>
        <w:rPr>
          <w:rFonts w:hint="eastAsia" w:ascii="仿宋" w:hAnsi="仿宋" w:eastAsia="仿宋" w:cs="仿宋"/>
          <w:color w:val="auto"/>
          <w:sz w:val="32"/>
          <w:szCs w:val="32"/>
          <w:lang w:val="en-US" w:eastAsia="zh-CN"/>
        </w:rPr>
        <w:t>支付三</w:t>
      </w:r>
      <w:r>
        <w:rPr>
          <w:rFonts w:hint="default" w:ascii="仿宋" w:hAnsi="仿宋" w:eastAsia="仿宋" w:cs="仿宋"/>
          <w:color w:val="auto"/>
          <w:sz w:val="32"/>
          <w:szCs w:val="32"/>
          <w:lang w:val="en-US" w:eastAsia="zh-CN"/>
        </w:rPr>
        <w:t>个月</w:t>
      </w:r>
      <w:r>
        <w:rPr>
          <w:rFonts w:hint="eastAsia" w:ascii="仿宋" w:hAnsi="仿宋" w:eastAsia="仿宋" w:cs="仿宋"/>
          <w:color w:val="auto"/>
          <w:sz w:val="32"/>
          <w:szCs w:val="32"/>
          <w:lang w:val="en-US" w:eastAsia="zh-CN"/>
        </w:rPr>
        <w:t>的</w:t>
      </w:r>
      <w:r>
        <w:rPr>
          <w:rFonts w:hint="default" w:ascii="仿宋" w:hAnsi="仿宋" w:eastAsia="仿宋" w:cs="仿宋"/>
          <w:color w:val="auto"/>
          <w:sz w:val="32"/>
          <w:szCs w:val="32"/>
          <w:lang w:val="en-US" w:eastAsia="zh-CN"/>
        </w:rPr>
        <w:t>租金</w:t>
      </w:r>
      <w:r>
        <w:rPr>
          <w:rFonts w:hint="eastAsia" w:ascii="仿宋" w:hAnsi="仿宋" w:eastAsia="仿宋" w:cs="仿宋"/>
          <w:color w:val="auto"/>
          <w:sz w:val="32"/>
          <w:szCs w:val="32"/>
          <w:lang w:val="en-US" w:eastAsia="zh-CN"/>
        </w:rPr>
        <w:t>即人民币</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元</w:t>
      </w:r>
      <w:r>
        <w:rPr>
          <w:rFonts w:hint="eastAsia" w:ascii="仿宋" w:hAnsi="仿宋" w:eastAsia="仿宋" w:cs="仿宋"/>
          <w:color w:val="auto"/>
          <w:sz w:val="32"/>
          <w:szCs w:val="32"/>
          <w:lang w:val="en-US" w:eastAsia="zh-CN"/>
        </w:rPr>
        <w:t>作为厂房租赁保证金</w:t>
      </w:r>
      <w:r>
        <w:rPr>
          <w:rFonts w:hint="default" w:ascii="仿宋" w:hAnsi="仿宋" w:eastAsia="仿宋" w:cs="仿宋"/>
          <w:color w:val="auto"/>
          <w:sz w:val="32"/>
          <w:szCs w:val="32"/>
          <w:lang w:val="en-US" w:eastAsia="zh-CN"/>
        </w:rPr>
        <w:t>，本合同期满并</w:t>
      </w:r>
      <w:r>
        <w:rPr>
          <w:rFonts w:hint="eastAsia" w:ascii="仿宋" w:hAnsi="仿宋" w:eastAsia="仿宋" w:cs="仿宋"/>
          <w:color w:val="auto"/>
          <w:sz w:val="32"/>
          <w:szCs w:val="32"/>
          <w:lang w:val="en-US" w:eastAsia="zh-CN"/>
        </w:rPr>
        <w:t>扣除</w:t>
      </w:r>
      <w:r>
        <w:rPr>
          <w:rFonts w:hint="default" w:ascii="仿宋" w:hAnsi="仿宋" w:eastAsia="仿宋" w:cs="仿宋"/>
          <w:color w:val="auto"/>
          <w:sz w:val="32"/>
          <w:szCs w:val="32"/>
          <w:lang w:val="en-US" w:eastAsia="zh-CN"/>
        </w:rPr>
        <w:t>相关费用</w:t>
      </w:r>
      <w:r>
        <w:rPr>
          <w:rFonts w:hint="eastAsia" w:ascii="仿宋" w:hAnsi="仿宋" w:eastAsia="仿宋" w:cs="仿宋"/>
          <w:color w:val="auto"/>
          <w:sz w:val="32"/>
          <w:szCs w:val="32"/>
          <w:lang w:val="en-US" w:eastAsia="zh-CN"/>
        </w:rPr>
        <w:t>后</w:t>
      </w:r>
      <w:r>
        <w:rPr>
          <w:rFonts w:hint="default" w:ascii="仿宋" w:hAnsi="仿宋" w:eastAsia="仿宋" w:cs="仿宋"/>
          <w:color w:val="auto"/>
          <w:sz w:val="32"/>
          <w:szCs w:val="32"/>
          <w:lang w:val="en-US" w:eastAsia="zh-CN"/>
        </w:rPr>
        <w:t>，甲方应</w:t>
      </w:r>
      <w:r>
        <w:rPr>
          <w:rFonts w:hint="eastAsia" w:ascii="仿宋" w:hAnsi="仿宋" w:eastAsia="仿宋" w:cs="仿宋"/>
          <w:color w:val="auto"/>
          <w:sz w:val="32"/>
          <w:szCs w:val="32"/>
          <w:lang w:val="en-US" w:eastAsia="zh-CN"/>
        </w:rPr>
        <w:t>在</w:t>
      </w:r>
      <w:r>
        <w:rPr>
          <w:rFonts w:hint="eastAsia" w:ascii="仿宋" w:hAnsi="仿宋" w:eastAsia="仿宋" w:cs="仿宋"/>
          <w:color w:val="auto"/>
          <w:sz w:val="32"/>
          <w:szCs w:val="32"/>
          <w:u w:val="single"/>
          <w:lang w:val="en-US" w:eastAsia="zh-CN"/>
        </w:rPr>
        <w:t xml:space="preserve">  </w:t>
      </w:r>
      <w:bookmarkStart w:id="0" w:name="_GoBack"/>
      <w:bookmarkEnd w:id="0"/>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en-US" w:eastAsia="zh-CN"/>
        </w:rPr>
        <w:t>个月内将剩余款项</w:t>
      </w:r>
      <w:r>
        <w:rPr>
          <w:rFonts w:hint="default" w:ascii="仿宋" w:hAnsi="仿宋" w:eastAsia="仿宋" w:cs="仿宋"/>
          <w:color w:val="auto"/>
          <w:sz w:val="32"/>
          <w:szCs w:val="32"/>
          <w:lang w:val="en-US" w:eastAsia="zh-CN"/>
        </w:rPr>
        <w:t>无息退还乙方。</w:t>
      </w:r>
    </w:p>
    <w:p w14:paraId="1585CBBF">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四、甲方责任</w:t>
      </w:r>
    </w:p>
    <w:p w14:paraId="3DD2C3D3">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甲方应及时将租赁物按现状交付乙方。</w:t>
      </w:r>
    </w:p>
    <w:p w14:paraId="3E1A13C5">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所有水源、电源线路必须接通至各楼面。</w:t>
      </w:r>
    </w:p>
    <w:p w14:paraId="4DBFC920">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根据政策及规定许可条件下，协助乙方办理企业合法经营的一切手续和帮助理顺相关部门关系。</w:t>
      </w:r>
    </w:p>
    <w:p w14:paraId="6A0D8913">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在租赁期间内，如厂房需要出售或置换，乙方享有优先权。</w:t>
      </w:r>
    </w:p>
    <w:p w14:paraId="60D63D9A">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甲方不得干扰乙方合法正常经营。</w:t>
      </w:r>
    </w:p>
    <w:p w14:paraId="30559B49">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五、乙方责任。</w:t>
      </w:r>
    </w:p>
    <w:p w14:paraId="108747D0">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乙方租赁期间，合理妥善使用和维护所承租的一切租赁物及附属设备，保证其正常使用。厂房及设备等日常维修维护费用、如出现房屋顶渗、漏水、下水道堵塞、墙面裂缝、电梯严重故障等问题，乙方须主动及时修复修理并承担全部费用。</w:t>
      </w:r>
    </w:p>
    <w:p w14:paraId="56633760">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乙方需按时向甲方缴交租金，按时向有关部门缴交水、电、环卫、环保等政府规定费用。</w:t>
      </w:r>
    </w:p>
    <w:p w14:paraId="63E7582F">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乙方租赁期间应合法、诚信经营，遵守国家有关消防法规和技术规范，建立健全安全生产责任制度。乙方为该厂的安全生产防火责任人。</w:t>
      </w:r>
    </w:p>
    <w:p w14:paraId="75F4FE76">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乙方已确认租赁物消防设施设备符合工业厂房标准要求，后续乙方将根据自身经营情况按有关要求落实完善，完善所需费用均由乙方承担。</w:t>
      </w:r>
    </w:p>
    <w:p w14:paraId="38BF4931">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5、租</w:t>
      </w:r>
      <w:r>
        <w:rPr>
          <w:rFonts w:hint="eastAsia" w:ascii="仿宋" w:hAnsi="仿宋" w:eastAsia="仿宋" w:cs="仿宋"/>
          <w:color w:val="auto"/>
          <w:sz w:val="32"/>
          <w:szCs w:val="32"/>
        </w:rPr>
        <w:t>赁</w:t>
      </w:r>
      <w:r>
        <w:rPr>
          <w:rFonts w:hint="eastAsia" w:ascii="仿宋" w:hAnsi="仿宋" w:eastAsia="仿宋" w:cs="仿宋"/>
          <w:color w:val="auto"/>
          <w:sz w:val="32"/>
          <w:szCs w:val="32"/>
          <w:lang w:val="en-US" w:eastAsia="zh-CN"/>
        </w:rPr>
        <w:t>期内物业的房屋财产保险由乙方负责投保（投保时物业赔偿的受益人应注明甲方）</w:t>
      </w:r>
    </w:p>
    <w:p w14:paraId="29042E04">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六、合同的解除</w:t>
      </w:r>
    </w:p>
    <w:p w14:paraId="3CB0CCF0">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甲方有下列情形之一的，乙方有权随时单方解除合同：</w:t>
      </w:r>
    </w:p>
    <w:p w14:paraId="1AD56E8E">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①</w:t>
      </w:r>
      <w:r>
        <w:rPr>
          <w:rFonts w:hint="eastAsia" w:ascii="仿宋" w:hAnsi="仿宋" w:eastAsia="仿宋" w:cs="仿宋"/>
          <w:color w:val="auto"/>
          <w:sz w:val="32"/>
          <w:szCs w:val="32"/>
        </w:rPr>
        <w:t>未按约定时间交付该房屋达</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日的。</w:t>
      </w:r>
    </w:p>
    <w:p w14:paraId="3978BE4F">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② </w:t>
      </w:r>
      <w:r>
        <w:rPr>
          <w:rFonts w:hint="eastAsia" w:ascii="仿宋" w:hAnsi="仿宋" w:eastAsia="仿宋" w:cs="仿宋"/>
          <w:color w:val="auto"/>
          <w:sz w:val="32"/>
          <w:szCs w:val="32"/>
        </w:rPr>
        <w:t>交付的房屋不符合合同约定严重影响乙方使用的。</w:t>
      </w:r>
    </w:p>
    <w:p w14:paraId="04C2F8CD">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乙方有下列情形之一的，</w:t>
      </w:r>
      <w:r>
        <w:rPr>
          <w:rFonts w:hint="eastAsia" w:ascii="仿宋" w:hAnsi="仿宋" w:eastAsia="仿宋" w:cs="仿宋"/>
          <w:color w:val="auto"/>
          <w:sz w:val="32"/>
          <w:szCs w:val="32"/>
          <w:lang w:val="en-US" w:eastAsia="zh-CN"/>
        </w:rPr>
        <w:t>视为乙方根本违约，</w:t>
      </w:r>
      <w:r>
        <w:rPr>
          <w:rFonts w:hint="eastAsia" w:ascii="仿宋" w:hAnsi="仿宋" w:eastAsia="仿宋" w:cs="仿宋"/>
          <w:color w:val="auto"/>
          <w:sz w:val="32"/>
          <w:szCs w:val="32"/>
        </w:rPr>
        <w:t>甲方有权随时单方解除</w:t>
      </w:r>
      <w:r>
        <w:rPr>
          <w:rFonts w:hint="eastAsia" w:ascii="仿宋" w:hAnsi="仿宋" w:eastAsia="仿宋" w:cs="仿宋"/>
          <w:color w:val="auto"/>
          <w:sz w:val="32"/>
          <w:szCs w:val="32"/>
          <w:lang w:val="en-US" w:eastAsia="zh-CN"/>
        </w:rPr>
        <w:t>本合同</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乙方已支付的本合同项下租赁保证金作为乙方违约赔偿，</w:t>
      </w:r>
      <w:r>
        <w:rPr>
          <w:rFonts w:hint="eastAsia" w:ascii="仿宋" w:hAnsi="仿宋" w:eastAsia="仿宋" w:cs="仿宋"/>
          <w:color w:val="auto"/>
          <w:sz w:val="32"/>
          <w:szCs w:val="32"/>
        </w:rPr>
        <w:t>乙方不得主张装修损失、经营损失，</w:t>
      </w:r>
      <w:r>
        <w:rPr>
          <w:rFonts w:hint="eastAsia" w:ascii="仿宋" w:hAnsi="仿宋" w:eastAsia="仿宋" w:cs="仿宋"/>
          <w:color w:val="auto"/>
          <w:sz w:val="32"/>
          <w:szCs w:val="32"/>
          <w:lang w:val="en-US" w:eastAsia="zh-CN"/>
        </w:rPr>
        <w:t>如给甲方造成的实际损失的，甲方还有有权要求乙方赔偿其实际损失：</w:t>
      </w:r>
    </w:p>
    <w:p w14:paraId="3DF287E1">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①</w:t>
      </w:r>
      <w:r>
        <w:rPr>
          <w:rFonts w:hint="eastAsia" w:ascii="仿宋" w:hAnsi="仿宋" w:eastAsia="仿宋" w:cs="仿宋"/>
          <w:color w:val="auto"/>
          <w:sz w:val="32"/>
          <w:szCs w:val="32"/>
        </w:rPr>
        <w:t>擅自改变该房屋用途的</w:t>
      </w:r>
      <w:r>
        <w:rPr>
          <w:rFonts w:hint="eastAsia" w:ascii="仿宋" w:hAnsi="仿宋" w:eastAsia="仿宋" w:cs="仿宋"/>
          <w:color w:val="auto"/>
          <w:sz w:val="32"/>
          <w:szCs w:val="32"/>
          <w:lang w:eastAsia="zh-CN"/>
        </w:rPr>
        <w:t>；</w:t>
      </w:r>
    </w:p>
    <w:p w14:paraId="2810B699">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②</w:t>
      </w:r>
      <w:r>
        <w:rPr>
          <w:rFonts w:hint="eastAsia" w:ascii="仿宋" w:hAnsi="仿宋" w:eastAsia="仿宋" w:cs="仿宋"/>
          <w:color w:val="auto"/>
          <w:sz w:val="32"/>
          <w:szCs w:val="32"/>
        </w:rPr>
        <w:t>擅自拆改变动或损坏房屋主体结构的</w:t>
      </w:r>
      <w:r>
        <w:rPr>
          <w:rFonts w:hint="eastAsia" w:ascii="仿宋" w:hAnsi="仿宋" w:eastAsia="仿宋" w:cs="仿宋"/>
          <w:color w:val="auto"/>
          <w:sz w:val="32"/>
          <w:szCs w:val="32"/>
          <w:lang w:eastAsia="zh-CN"/>
        </w:rPr>
        <w:t>；</w:t>
      </w:r>
    </w:p>
    <w:p w14:paraId="57FAE7E1">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③</w:t>
      </w:r>
      <w:r>
        <w:rPr>
          <w:rFonts w:hint="eastAsia" w:ascii="仿宋" w:hAnsi="仿宋" w:eastAsia="仿宋" w:cs="仿宋"/>
          <w:color w:val="auto"/>
          <w:sz w:val="32"/>
          <w:szCs w:val="32"/>
        </w:rPr>
        <w:t>未向甲方报告获批及备案，擅自将该房屋转租给第三人的</w:t>
      </w:r>
      <w:r>
        <w:rPr>
          <w:rFonts w:hint="eastAsia" w:ascii="仿宋" w:hAnsi="仿宋" w:eastAsia="仿宋" w:cs="仿宋"/>
          <w:color w:val="auto"/>
          <w:sz w:val="32"/>
          <w:szCs w:val="32"/>
        </w:rPr>
        <w:drawing>
          <wp:anchor distT="0" distB="0" distL="114300" distR="114300" simplePos="0" relativeHeight="251660288" behindDoc="1" locked="0" layoutInCell="1" allowOverlap="1">
            <wp:simplePos x="0" y="0"/>
            <wp:positionH relativeFrom="page">
              <wp:posOffset>7772400</wp:posOffset>
            </wp:positionH>
            <wp:positionV relativeFrom="paragraph">
              <wp:posOffset>698500</wp:posOffset>
            </wp:positionV>
            <wp:extent cx="203200" cy="1930400"/>
            <wp:effectExtent l="0" t="0" r="7620" b="0"/>
            <wp:wrapNone/>
            <wp:docPr id="9"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MP"/>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03200" cy="1930400"/>
                    </a:xfrm>
                    <a:prstGeom prst="rect">
                      <a:avLst/>
                    </a:prstGeom>
                  </pic:spPr>
                </pic:pic>
              </a:graphicData>
            </a:graphic>
          </wp:anchor>
        </w:drawing>
      </w:r>
      <w:r>
        <w:rPr>
          <w:rFonts w:hint="eastAsia" w:ascii="仿宋" w:hAnsi="仿宋" w:eastAsia="仿宋" w:cs="仿宋"/>
          <w:color w:val="auto"/>
          <w:sz w:val="32"/>
          <w:szCs w:val="32"/>
          <w:lang w:eastAsia="zh-CN"/>
        </w:rPr>
        <w:t>；</w:t>
      </w:r>
    </w:p>
    <w:p w14:paraId="1EC8FFB5">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④</w:t>
      </w:r>
      <w:r>
        <w:rPr>
          <w:rFonts w:hint="eastAsia" w:ascii="仿宋" w:hAnsi="仿宋" w:eastAsia="仿宋" w:cs="仿宋"/>
          <w:color w:val="auto"/>
          <w:sz w:val="32"/>
          <w:szCs w:val="32"/>
        </w:rPr>
        <w:t>乙方</w:t>
      </w:r>
      <w:r>
        <w:rPr>
          <w:rFonts w:hint="eastAsia" w:ascii="仿宋" w:hAnsi="仿宋" w:eastAsia="仿宋" w:cs="仿宋"/>
          <w:color w:val="auto"/>
          <w:sz w:val="32"/>
          <w:szCs w:val="32"/>
          <w:lang w:val="en-US" w:eastAsia="zh-CN"/>
        </w:rPr>
        <w:t>逾期缴纳</w:t>
      </w:r>
      <w:r>
        <w:rPr>
          <w:rFonts w:hint="eastAsia" w:ascii="仿宋" w:hAnsi="仿宋" w:eastAsia="仿宋" w:cs="仿宋"/>
          <w:color w:val="auto"/>
          <w:sz w:val="32"/>
          <w:szCs w:val="32"/>
        </w:rPr>
        <w:t>租金超过</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en-US" w:eastAsia="zh-CN"/>
        </w:rPr>
        <w:t>日的；</w:t>
      </w:r>
    </w:p>
    <w:p w14:paraId="65A5DCAF">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⑤</w:t>
      </w:r>
      <w:r>
        <w:rPr>
          <w:rFonts w:hint="eastAsia" w:ascii="仿宋" w:hAnsi="仿宋" w:eastAsia="仿宋" w:cs="仿宋"/>
          <w:color w:val="auto"/>
          <w:sz w:val="32"/>
          <w:szCs w:val="32"/>
        </w:rPr>
        <w:t>利用该房屋从事违法活动的</w:t>
      </w:r>
      <w:r>
        <w:rPr>
          <w:rFonts w:hint="eastAsia" w:ascii="仿宋" w:hAnsi="仿宋" w:eastAsia="仿宋" w:cs="仿宋"/>
          <w:color w:val="auto"/>
          <w:sz w:val="32"/>
          <w:szCs w:val="32"/>
          <w:lang w:eastAsia="zh-CN"/>
        </w:rPr>
        <w:t>；</w:t>
      </w:r>
    </w:p>
    <w:p w14:paraId="5348BC07">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⑥</w:t>
      </w:r>
      <w:r>
        <w:rPr>
          <w:rFonts w:hint="eastAsia" w:ascii="仿宋" w:hAnsi="仿宋" w:eastAsia="仿宋" w:cs="仿宋"/>
          <w:color w:val="auto"/>
          <w:sz w:val="32"/>
          <w:szCs w:val="32"/>
        </w:rPr>
        <w:t>乙方在转租过程中损害甲方利益的</w:t>
      </w:r>
      <w:r>
        <w:rPr>
          <w:rFonts w:hint="eastAsia" w:ascii="仿宋" w:hAnsi="仿宋" w:eastAsia="仿宋" w:cs="仿宋"/>
          <w:color w:val="auto"/>
          <w:sz w:val="32"/>
          <w:szCs w:val="32"/>
          <w:lang w:eastAsia="zh-CN"/>
        </w:rPr>
        <w:t>；</w:t>
      </w:r>
    </w:p>
    <w:p w14:paraId="59E1DAB1">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⑦乙方单方提前解除合同的；</w:t>
      </w:r>
    </w:p>
    <w:p w14:paraId="5E66D873">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⑧</w:t>
      </w:r>
      <w:r>
        <w:rPr>
          <w:rFonts w:hint="eastAsia" w:ascii="仿宋" w:hAnsi="仿宋" w:eastAsia="仿宋" w:cs="仿宋"/>
          <w:color w:val="auto"/>
          <w:sz w:val="32"/>
          <w:szCs w:val="32"/>
        </w:rPr>
        <w:t>乙方未处理好安全事故、劳资纠纷及其他债务纠纷，导致甲方垫资的。</w:t>
      </w:r>
    </w:p>
    <w:p w14:paraId="06E79E3A">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七、合同终止</w:t>
      </w:r>
    </w:p>
    <w:p w14:paraId="72CBC752">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该房屋因城市建设需要被依法列入房屋拆迁范围的（征收补偿款重点约定：除经营性补偿归属乙方外，其他含土地及地上包括乙方投入建造的所有建筑物等征收补偿归属甲方）。</w:t>
      </w:r>
    </w:p>
    <w:p w14:paraId="3E6846A3">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因地震等天灾不可抗力致使房屋毁损或造成其他损失的。</w:t>
      </w:r>
    </w:p>
    <w:p w14:paraId="05E9C251">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甲方因公共利益的需要决定不再租赁本合同租赁物，自用或者用于其他公共项目。</w:t>
      </w:r>
    </w:p>
    <w:p w14:paraId="1142055A">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4、本合同到期后，双方不再续租的，本合同终止。</w:t>
      </w:r>
    </w:p>
    <w:p w14:paraId="514BA2F9">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以上</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种情形出现合同终止的，甲乙双方互不承担违约责任。</w:t>
      </w:r>
    </w:p>
    <w:p w14:paraId="7EEAC629">
      <w:pPr>
        <w:keepNext w:val="0"/>
        <w:keepLines w:val="0"/>
        <w:pageBreakBefore w:val="0"/>
        <w:widowControl w:val="0"/>
        <w:numPr>
          <w:ilvl w:val="0"/>
          <w:numId w:val="2"/>
        </w:numPr>
        <w:kinsoku/>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本合同终止</w:t>
      </w:r>
      <w:r>
        <w:rPr>
          <w:rFonts w:hint="eastAsia" w:ascii="仿宋" w:hAnsi="仿宋" w:eastAsia="仿宋" w:cs="仿宋"/>
          <w:color w:val="auto"/>
          <w:sz w:val="32"/>
          <w:szCs w:val="32"/>
          <w:lang w:val="en-US" w:eastAsia="zh-CN"/>
        </w:rPr>
        <w:t>或解除时</w:t>
      </w:r>
      <w:r>
        <w:rPr>
          <w:rFonts w:hint="eastAsia" w:ascii="仿宋" w:hAnsi="仿宋" w:eastAsia="仿宋" w:cs="仿宋"/>
          <w:color w:val="auto"/>
          <w:sz w:val="32"/>
          <w:szCs w:val="32"/>
        </w:rPr>
        <w:t>时，乙方应将本合同所有租赁物，或后续加建加装的房屋及附属设备，无条件交还给甲方，如有使用不当和人为损坏的乙方应予修复（自然</w:t>
      </w:r>
      <w:r>
        <w:rPr>
          <w:rFonts w:hint="eastAsia" w:ascii="仿宋" w:hAnsi="仿宋" w:eastAsia="仿宋" w:cs="仿宋"/>
          <w:color w:val="auto"/>
          <w:sz w:val="32"/>
          <w:szCs w:val="32"/>
          <w:lang w:val="en-US" w:eastAsia="zh-CN"/>
        </w:rPr>
        <w:t>损耗</w:t>
      </w:r>
      <w:r>
        <w:rPr>
          <w:rFonts w:hint="eastAsia" w:ascii="仿宋" w:hAnsi="仿宋" w:eastAsia="仿宋" w:cs="仿宋"/>
          <w:color w:val="auto"/>
          <w:sz w:val="32"/>
          <w:szCs w:val="32"/>
        </w:rPr>
        <w:t>除外），如有未修复或设备缺失的，甲方有权按照市场价</w:t>
      </w:r>
      <w:r>
        <w:rPr>
          <w:rFonts w:hint="eastAsia" w:ascii="仿宋" w:hAnsi="仿宋" w:eastAsia="仿宋" w:cs="仿宋"/>
          <w:color w:val="auto"/>
          <w:sz w:val="32"/>
          <w:szCs w:val="32"/>
          <w:lang w:val="en-US" w:eastAsia="zh-CN"/>
        </w:rPr>
        <w:t>两倍的标准向乙方主张赔偿。</w:t>
      </w:r>
    </w:p>
    <w:p w14:paraId="0B75EFFE">
      <w:pPr>
        <w:keepNext w:val="0"/>
        <w:keepLines w:val="0"/>
        <w:pageBreakBefore w:val="0"/>
        <w:widowControl w:val="0"/>
        <w:numPr>
          <w:ilvl w:val="0"/>
          <w:numId w:val="2"/>
        </w:numPr>
        <w:kinsoku/>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乙方在本合同终止或解除时，应在</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en-US" w:eastAsia="zh-CN"/>
        </w:rPr>
        <w:t>日内将其财产或物品搬离，作清场处理，将租赁物业及时返还给甲方，以确保甲方招租或新的承租人进场，乙方逾期返还的，甲方有权要求乙方按照本合同项下租金的两倍标准支付占用费。</w:t>
      </w:r>
    </w:p>
    <w:p w14:paraId="5BAC4AA0">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八、违约责任。</w:t>
      </w:r>
    </w:p>
    <w:p w14:paraId="31668866">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仿宋" w:hAnsi="仿宋" w:eastAsia="仿宋" w:cs="仿宋"/>
          <w:color w:val="auto"/>
          <w:sz w:val="32"/>
          <w:szCs w:val="32"/>
          <w:u w:val="none"/>
          <w:lang w:val="en-US"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乙方</w:t>
      </w:r>
      <w:r>
        <w:rPr>
          <w:rFonts w:hint="eastAsia" w:ascii="仿宋" w:hAnsi="仿宋" w:eastAsia="仿宋" w:cs="仿宋"/>
          <w:color w:val="auto"/>
          <w:sz w:val="32"/>
          <w:szCs w:val="32"/>
          <w:lang w:val="en-US" w:eastAsia="zh-CN"/>
        </w:rPr>
        <w:t>应当及时、足额向甲方支付</w:t>
      </w:r>
      <w:r>
        <w:rPr>
          <w:rFonts w:hint="eastAsia" w:ascii="仿宋" w:hAnsi="仿宋" w:eastAsia="仿宋" w:cs="仿宋"/>
          <w:color w:val="auto"/>
          <w:sz w:val="32"/>
          <w:szCs w:val="32"/>
        </w:rPr>
        <w:t>租金，</w:t>
      </w:r>
      <w:r>
        <w:rPr>
          <w:rFonts w:hint="eastAsia" w:ascii="仿宋" w:hAnsi="仿宋" w:eastAsia="仿宋" w:cs="仿宋"/>
          <w:color w:val="auto"/>
          <w:sz w:val="32"/>
          <w:szCs w:val="32"/>
          <w:lang w:val="en-US" w:eastAsia="zh-CN"/>
        </w:rPr>
        <w:t>逾期支付租金的</w:t>
      </w:r>
      <w:r>
        <w:rPr>
          <w:rFonts w:hint="eastAsia" w:ascii="仿宋" w:hAnsi="仿宋" w:eastAsia="仿宋" w:cs="仿宋"/>
          <w:color w:val="auto"/>
          <w:sz w:val="32"/>
          <w:szCs w:val="32"/>
        </w:rPr>
        <w:t>，甲方</w:t>
      </w:r>
      <w:r>
        <w:rPr>
          <w:rFonts w:hint="eastAsia" w:ascii="仿宋" w:hAnsi="仿宋" w:eastAsia="仿宋" w:cs="仿宋"/>
          <w:color w:val="auto"/>
          <w:sz w:val="32"/>
          <w:szCs w:val="32"/>
          <w:lang w:val="en-US" w:eastAsia="zh-CN"/>
        </w:rPr>
        <w:t>有权</w:t>
      </w:r>
      <w:r>
        <w:rPr>
          <w:rFonts w:hint="eastAsia" w:ascii="仿宋" w:hAnsi="仿宋" w:eastAsia="仿宋" w:cs="仿宋"/>
          <w:color w:val="auto"/>
          <w:sz w:val="32"/>
          <w:szCs w:val="32"/>
        </w:rPr>
        <w:t>按</w:t>
      </w:r>
      <w:r>
        <w:rPr>
          <w:rFonts w:hint="eastAsia" w:ascii="仿宋" w:hAnsi="仿宋" w:eastAsia="仿宋" w:cs="仿宋"/>
          <w:color w:val="auto"/>
          <w:sz w:val="32"/>
          <w:szCs w:val="32"/>
          <w:lang w:val="en-US" w:eastAsia="zh-CN"/>
        </w:rPr>
        <w:t>应付租金的千分之一每天计算违约金，逾期支付租金超过</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日的按照本合同第六条第二款处理。</w:t>
      </w:r>
    </w:p>
    <w:p w14:paraId="41428834">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甲方在租赁期间未经乙方同意提前收回厂房，</w:t>
      </w:r>
      <w:r>
        <w:rPr>
          <w:rFonts w:hint="eastAsia" w:ascii="仿宋" w:hAnsi="仿宋" w:eastAsia="仿宋" w:cs="仿宋"/>
          <w:color w:val="auto"/>
          <w:sz w:val="32"/>
          <w:szCs w:val="32"/>
          <w:lang w:val="en-US" w:eastAsia="zh-CN"/>
        </w:rPr>
        <w:t>应当退回租赁保证金，并</w:t>
      </w:r>
      <w:r>
        <w:rPr>
          <w:rFonts w:hint="eastAsia" w:ascii="仿宋" w:hAnsi="仿宋" w:eastAsia="仿宋" w:cs="仿宋"/>
          <w:color w:val="auto"/>
          <w:sz w:val="32"/>
          <w:szCs w:val="32"/>
        </w:rPr>
        <w:t>赔偿乙方一个月租金作为乙方</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全部经济损失。</w:t>
      </w:r>
    </w:p>
    <w:p w14:paraId="44F2966B">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租赁期间如出现租赁物设备损坏、房屋漏水、墙体脱落、下水道堵塞等问题乙方不予及时修复修理的，甲方介入予以处理，产生的费用</w:t>
      </w:r>
      <w:r>
        <w:rPr>
          <w:rFonts w:hint="eastAsia" w:ascii="仿宋" w:hAnsi="仿宋" w:eastAsia="仿宋" w:cs="仿宋"/>
          <w:color w:val="auto"/>
          <w:sz w:val="32"/>
          <w:szCs w:val="32"/>
          <w:lang w:val="en-US" w:eastAsia="zh-CN"/>
        </w:rPr>
        <w:t>由</w:t>
      </w:r>
      <w:r>
        <w:rPr>
          <w:rFonts w:hint="eastAsia" w:ascii="仿宋" w:hAnsi="仿宋" w:eastAsia="仿宋" w:cs="仿宋"/>
          <w:color w:val="auto"/>
          <w:sz w:val="32"/>
          <w:szCs w:val="32"/>
        </w:rPr>
        <w:t>乙方承担。</w:t>
      </w:r>
    </w:p>
    <w:p w14:paraId="69B249F5">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乙方未处理好安全事故、劳资纠纷及其他债务纠纷，导致相关人员上访等，甲方基于维稳考虑，可以先行垫付，甲方垫付后，乙方需要按照甲方垫付费用的双倍向甲方承担违约责任。</w:t>
      </w:r>
    </w:p>
    <w:p w14:paraId="07B5DE09">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 因乙方违约造成的损失，甲方通知乙方后，可直接在租赁保证金中扣减，不足部分，再另行向乙方主张。</w:t>
      </w:r>
    </w:p>
    <w:p w14:paraId="7470C55A">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九、争议解决</w:t>
      </w:r>
    </w:p>
    <w:p w14:paraId="73E037D3">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本合同项下发生的争议，由双方当事人协商解决，协商不成的，依法向租赁物所在地人民法院起诉</w:t>
      </w:r>
      <w:r>
        <w:rPr>
          <w:rFonts w:hint="eastAsia" w:ascii="仿宋" w:hAnsi="仿宋" w:eastAsia="仿宋" w:cs="仿宋"/>
          <w:color w:val="auto"/>
          <w:sz w:val="32"/>
          <w:szCs w:val="32"/>
          <w:lang w:val="en-US" w:eastAsia="zh-CN"/>
        </w:rPr>
        <w:t>解决争议。</w:t>
      </w:r>
    </w:p>
    <w:p w14:paraId="4715F586">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2、任何一方违约，守约方因实现债权产生的费用均由违约方承担</w:t>
      </w:r>
      <w:r>
        <w:rPr>
          <w:rFonts w:hint="eastAsia" w:ascii="仿宋" w:hAnsi="仿宋" w:eastAsia="仿宋" w:cs="仿宋"/>
          <w:color w:val="auto"/>
          <w:sz w:val="32"/>
          <w:szCs w:val="32"/>
        </w:rPr>
        <w:t>（包括但不限于诉讼费、保全费、</w:t>
      </w:r>
      <w:r>
        <w:rPr>
          <w:rFonts w:hint="eastAsia" w:ascii="仿宋" w:hAnsi="仿宋" w:eastAsia="仿宋" w:cs="仿宋"/>
          <w:color w:val="auto"/>
          <w:sz w:val="32"/>
          <w:szCs w:val="32"/>
          <w:lang w:val="en-US" w:eastAsia="zh-CN"/>
        </w:rPr>
        <w:t>保全保险费、</w:t>
      </w:r>
      <w:r>
        <w:rPr>
          <w:rFonts w:hint="eastAsia" w:ascii="仿宋" w:hAnsi="仿宋" w:eastAsia="仿宋" w:cs="仿宋"/>
          <w:color w:val="auto"/>
          <w:sz w:val="32"/>
          <w:szCs w:val="32"/>
        </w:rPr>
        <w:t>执行费、公证费、律师费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鉴定费</w:t>
      </w:r>
      <w:r>
        <w:rPr>
          <w:rFonts w:hint="eastAsia" w:ascii="仿宋" w:hAnsi="仿宋" w:eastAsia="仿宋" w:cs="仿宋"/>
          <w:color w:val="auto"/>
          <w:sz w:val="32"/>
          <w:szCs w:val="32"/>
        </w:rPr>
        <w:t>）。</w:t>
      </w:r>
    </w:p>
    <w:p w14:paraId="2BD603CC">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val="en-US" w:eastAsia="zh-CN"/>
        </w:rPr>
        <w:t>十、</w:t>
      </w:r>
      <w:r>
        <w:rPr>
          <w:rFonts w:hint="eastAsia" w:ascii="仿宋" w:hAnsi="仿宋" w:eastAsia="仿宋" w:cs="仿宋"/>
          <w:b/>
          <w:color w:val="auto"/>
          <w:sz w:val="32"/>
          <w:szCs w:val="32"/>
        </w:rPr>
        <w:t>其他</w:t>
      </w:r>
    </w:p>
    <w:p w14:paraId="302BA3E4">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本合同未尽事宜，甲乙双方可共同协商，并签订补充协议。补充协议与本合同具有同等法律效力。</w:t>
      </w:r>
    </w:p>
    <w:p w14:paraId="0DA1D2E8">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2、送达和签收</w:t>
      </w:r>
    </w:p>
    <w:p w14:paraId="05C6F876">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仿宋" w:hAnsi="仿宋" w:eastAsia="仿宋" w:cs="仿宋"/>
          <w:color w:val="auto"/>
          <w:sz w:val="32"/>
          <w:szCs w:val="32"/>
          <w:u w:val="none"/>
          <w:lang w:val="en-US" w:eastAsia="zh-CN"/>
        </w:rPr>
      </w:pPr>
      <w:r>
        <w:rPr>
          <w:rFonts w:hint="eastAsia" w:ascii="仿宋" w:hAnsi="仿宋" w:eastAsia="仿宋" w:cs="仿宋"/>
          <w:color w:val="auto"/>
          <w:sz w:val="32"/>
          <w:szCs w:val="32"/>
          <w:lang w:val="en-US" w:eastAsia="zh-CN"/>
        </w:rPr>
        <w:t>甲方文书接收地址：</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en-US" w:eastAsia="zh-CN"/>
        </w:rPr>
        <w:t>，联系人</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en-US" w:eastAsia="zh-CN"/>
        </w:rPr>
        <w:t>，联系电话：</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w:t>
      </w:r>
    </w:p>
    <w:p w14:paraId="6D0FB8AA">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仿宋" w:hAnsi="仿宋" w:eastAsia="仿宋" w:cs="仿宋"/>
          <w:color w:val="auto"/>
          <w:sz w:val="32"/>
          <w:szCs w:val="32"/>
          <w:u w:val="none"/>
          <w:lang w:val="en-US" w:eastAsia="zh-CN"/>
        </w:rPr>
      </w:pPr>
      <w:r>
        <w:rPr>
          <w:rFonts w:hint="eastAsia" w:ascii="仿宋" w:hAnsi="仿宋" w:eastAsia="仿宋" w:cs="仿宋"/>
          <w:color w:val="auto"/>
          <w:sz w:val="32"/>
          <w:szCs w:val="32"/>
          <w:lang w:val="en-US" w:eastAsia="zh-CN"/>
        </w:rPr>
        <w:t>乙方文书接收地址：</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en-US" w:eastAsia="zh-CN"/>
        </w:rPr>
        <w:t>，联系人</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en-US" w:eastAsia="zh-CN"/>
        </w:rPr>
        <w:t>，联系电话：</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w:t>
      </w:r>
    </w:p>
    <w:p w14:paraId="7ABD8FE6">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上述地址作为甲乙双方（包括人民法院）送达文书确认的地址，如有变更，应以书面的形式提出，如相互之间以及人民法院发送文书无人签收被退回的，视为相关文书已送达和签收。</w:t>
      </w:r>
    </w:p>
    <w:p w14:paraId="3C0321D4">
      <w:pPr>
        <w:keepNext w:val="0"/>
        <w:keepLines w:val="0"/>
        <w:pageBreakBefore w:val="0"/>
        <w:widowControl w:val="0"/>
        <w:numPr>
          <w:ilvl w:val="0"/>
          <w:numId w:val="3"/>
        </w:numPr>
        <w:kinsoku/>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本合同经甲乙双方签字、盖章后生效。本合同一式伍份，甲乙双方各执壹份，桥西街道资产办存档壹份，区交易中心存档壹份，区国资局存档壹份。</w:t>
      </w:r>
    </w:p>
    <w:p w14:paraId="799ED3C3">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以下无正文</w:t>
      </w:r>
      <w:r>
        <w:rPr>
          <w:rFonts w:hint="eastAsia" w:ascii="仿宋" w:hAnsi="仿宋" w:eastAsia="仿宋" w:cs="仿宋"/>
          <w:color w:val="auto"/>
          <w:sz w:val="32"/>
          <w:szCs w:val="32"/>
          <w:lang w:eastAsia="zh-CN"/>
        </w:rPr>
        <w:t>）</w:t>
      </w:r>
    </w:p>
    <w:p w14:paraId="21D34AF9">
      <w:pPr>
        <w:keepNext w:val="0"/>
        <w:keepLines w:val="0"/>
        <w:pageBreakBefore w:val="0"/>
        <w:widowControl w:val="0"/>
        <w:kinsoku/>
        <w:overflowPunct/>
        <w:topLinePunct w:val="0"/>
        <w:autoSpaceDE/>
        <w:autoSpaceDN/>
        <w:bidi w:val="0"/>
        <w:adjustRightInd/>
        <w:snapToGrid/>
        <w:spacing w:line="520" w:lineRule="exact"/>
        <w:ind w:right="0" w:rightChars="0"/>
        <w:jc w:val="both"/>
        <w:textAlignment w:val="auto"/>
        <w:rPr>
          <w:rFonts w:hint="eastAsia" w:ascii="仿宋" w:hAnsi="仿宋" w:eastAsia="仿宋" w:cs="仿宋"/>
          <w:b/>
          <w:bCs/>
          <w:color w:val="auto"/>
          <w:sz w:val="32"/>
          <w:szCs w:val="32"/>
        </w:rPr>
      </w:pPr>
    </w:p>
    <w:p w14:paraId="16A6DBC6">
      <w:pPr>
        <w:keepNext w:val="0"/>
        <w:keepLines w:val="0"/>
        <w:pageBreakBefore w:val="0"/>
        <w:widowControl w:val="0"/>
        <w:kinsoku/>
        <w:overflowPunct/>
        <w:topLinePunct w:val="0"/>
        <w:autoSpaceDE/>
        <w:autoSpaceDN/>
        <w:bidi w:val="0"/>
        <w:adjustRightInd/>
        <w:snapToGrid/>
        <w:spacing w:line="520" w:lineRule="exact"/>
        <w:ind w:right="0" w:rightChars="0"/>
        <w:jc w:val="both"/>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甲方：                      乙方：</w:t>
      </w:r>
    </w:p>
    <w:p w14:paraId="35841609">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3" w:firstLineChars="200"/>
        <w:jc w:val="both"/>
        <w:textAlignment w:val="auto"/>
        <w:rPr>
          <w:rFonts w:hint="eastAsia" w:ascii="仿宋" w:hAnsi="仿宋" w:eastAsia="仿宋" w:cs="仿宋"/>
          <w:b/>
          <w:bCs/>
          <w:color w:val="auto"/>
          <w:sz w:val="32"/>
          <w:szCs w:val="32"/>
        </w:rPr>
      </w:pPr>
    </w:p>
    <w:p w14:paraId="50C86D38">
      <w:pPr>
        <w:keepNext w:val="0"/>
        <w:keepLines w:val="0"/>
        <w:pageBreakBefore w:val="0"/>
        <w:widowControl w:val="0"/>
        <w:kinsoku/>
        <w:overflowPunct/>
        <w:topLinePunct w:val="0"/>
        <w:autoSpaceDE/>
        <w:autoSpaceDN/>
        <w:bidi w:val="0"/>
        <w:adjustRightInd/>
        <w:snapToGrid/>
        <w:spacing w:line="520" w:lineRule="exact"/>
        <w:ind w:right="0" w:rightChars="0"/>
        <w:jc w:val="both"/>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负责人</w:t>
      </w:r>
      <w:r>
        <w:rPr>
          <w:rFonts w:hint="eastAsia" w:ascii="仿宋" w:hAnsi="仿宋" w:eastAsia="仿宋" w:cs="仿宋"/>
          <w:b/>
          <w:bCs/>
          <w:color w:val="auto"/>
          <w:sz w:val="32"/>
          <w:szCs w:val="32"/>
        </w:rPr>
        <w:t>：                    法定代表人</w:t>
      </w:r>
      <w:r>
        <w:rPr>
          <w:rFonts w:hint="eastAsia" w:ascii="仿宋" w:hAnsi="仿宋" w:eastAsia="仿宋" w:cs="仿宋"/>
          <w:b/>
          <w:bCs/>
          <w:color w:val="auto"/>
          <w:sz w:val="32"/>
          <w:szCs w:val="32"/>
          <w:lang w:val="en-US" w:eastAsia="zh-CN"/>
        </w:rPr>
        <w:t>:</w:t>
      </w:r>
    </w:p>
    <w:p w14:paraId="32C226B8">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3" w:firstLineChars="200"/>
        <w:jc w:val="both"/>
        <w:textAlignment w:val="auto"/>
        <w:rPr>
          <w:rFonts w:hint="eastAsia" w:ascii="仿宋" w:hAnsi="仿宋" w:eastAsia="仿宋" w:cs="仿宋"/>
          <w:b/>
          <w:bCs/>
          <w:color w:val="auto"/>
          <w:sz w:val="32"/>
          <w:szCs w:val="32"/>
        </w:rPr>
      </w:pPr>
    </w:p>
    <w:p w14:paraId="792E89B0">
      <w:pPr>
        <w:keepNext w:val="0"/>
        <w:keepLines w:val="0"/>
        <w:pageBreakBefore w:val="0"/>
        <w:widowControl w:val="0"/>
        <w:kinsoku/>
        <w:overflowPunct/>
        <w:topLinePunct w:val="0"/>
        <w:autoSpaceDE/>
        <w:autoSpaceDN/>
        <w:bidi w:val="0"/>
        <w:adjustRightInd/>
        <w:snapToGrid/>
        <w:spacing w:line="520" w:lineRule="exact"/>
        <w:ind w:left="0" w:leftChars="0" w:right="0" w:rightChars="0" w:firstLine="643" w:firstLineChars="200"/>
        <w:jc w:val="both"/>
        <w:textAlignment w:val="auto"/>
        <w:rPr>
          <w:rFonts w:hint="eastAsia" w:ascii="仿宋" w:hAnsi="仿宋" w:eastAsia="仿宋" w:cs="仿宋"/>
          <w:b/>
          <w:bCs/>
          <w:color w:val="auto"/>
          <w:sz w:val="32"/>
          <w:szCs w:val="32"/>
        </w:rPr>
      </w:pPr>
    </w:p>
    <w:p w14:paraId="0499CD05">
      <w:pPr>
        <w:keepNext w:val="0"/>
        <w:keepLines w:val="0"/>
        <w:pageBreakBefore w:val="0"/>
        <w:widowControl w:val="0"/>
        <w:kinsoku/>
        <w:overflowPunct/>
        <w:topLinePunct w:val="0"/>
        <w:autoSpaceDE/>
        <w:autoSpaceDN/>
        <w:bidi w:val="0"/>
        <w:adjustRightInd/>
        <w:snapToGrid/>
        <w:spacing w:line="520" w:lineRule="exact"/>
        <w:ind w:right="0" w:rightChars="0"/>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签订日期：</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 xml:space="preserve"> </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 xml:space="preserve">年 </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月</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日</w:t>
      </w:r>
    </w:p>
    <w:p w14:paraId="1444CCB1">
      <w:pPr>
        <w:keepNext w:val="0"/>
        <w:keepLines w:val="0"/>
        <w:pageBreakBefore w:val="0"/>
        <w:widowControl w:val="0"/>
        <w:kinsoku/>
        <w:overflowPunct/>
        <w:topLinePunct w:val="0"/>
        <w:autoSpaceDE/>
        <w:autoSpaceDN/>
        <w:bidi w:val="0"/>
        <w:adjustRightInd/>
        <w:snapToGrid/>
        <w:spacing w:line="520" w:lineRule="exact"/>
        <w:ind w:right="0" w:right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 xml:space="preserve">签订地点：    </w:t>
      </w:r>
      <w:r>
        <w:rPr>
          <w:rFonts w:hint="eastAsia" w:ascii="仿宋" w:hAnsi="仿宋" w:eastAsia="仿宋" w:cs="仿宋"/>
          <w:b/>
          <w:bCs/>
          <w:color w:val="auto"/>
          <w:sz w:val="32"/>
          <w:szCs w:val="32"/>
        </w:rPr>
        <w:t xml:space="preserve">年 </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月</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日</w:t>
      </w:r>
    </w:p>
    <w:sectPr>
      <w:footerReference r:id="rId3" w:type="default"/>
      <w:pgSz w:w="11906" w:h="16838"/>
      <w:pgMar w:top="1417" w:right="1587" w:bottom="1304" w:left="1587" w:header="850" w:footer="850"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9BA5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FC5B5">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AAFC5B5">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C2D000"/>
    <w:multiLevelType w:val="singleLevel"/>
    <w:tmpl w:val="26C2D000"/>
    <w:lvl w:ilvl="0" w:tentative="0">
      <w:start w:val="3"/>
      <w:numFmt w:val="decimal"/>
      <w:suff w:val="nothing"/>
      <w:lvlText w:val="%1、"/>
      <w:lvlJc w:val="left"/>
    </w:lvl>
  </w:abstractNum>
  <w:abstractNum w:abstractNumId="1">
    <w:nsid w:val="4FBD3FE7"/>
    <w:multiLevelType w:val="singleLevel"/>
    <w:tmpl w:val="4FBD3FE7"/>
    <w:lvl w:ilvl="0" w:tentative="0">
      <w:start w:val="5"/>
      <w:numFmt w:val="decimal"/>
      <w:suff w:val="nothing"/>
      <w:lvlText w:val="%1、"/>
      <w:lvlJc w:val="left"/>
    </w:lvl>
  </w:abstractNum>
  <w:abstractNum w:abstractNumId="2">
    <w:nsid w:val="61D000D8"/>
    <w:multiLevelType w:val="singleLevel"/>
    <w:tmpl w:val="61D000D8"/>
    <w:lvl w:ilvl="0" w:tentative="0">
      <w:start w:val="2"/>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4ZDg5YWFkMzYxMGY4YTE3NzhiZTNmMWQzNmY2ZTUifQ=="/>
  </w:docVars>
  <w:rsids>
    <w:rsidRoot w:val="7A1066CD"/>
    <w:rsid w:val="01DE30C1"/>
    <w:rsid w:val="023C28FD"/>
    <w:rsid w:val="06405796"/>
    <w:rsid w:val="0AA37864"/>
    <w:rsid w:val="113A4FEE"/>
    <w:rsid w:val="128738E2"/>
    <w:rsid w:val="18176387"/>
    <w:rsid w:val="1CD31E78"/>
    <w:rsid w:val="1CEE2F53"/>
    <w:rsid w:val="220D17D2"/>
    <w:rsid w:val="260B3809"/>
    <w:rsid w:val="2666740F"/>
    <w:rsid w:val="285B7244"/>
    <w:rsid w:val="2C190D33"/>
    <w:rsid w:val="2F215E83"/>
    <w:rsid w:val="41A464DE"/>
    <w:rsid w:val="4886062F"/>
    <w:rsid w:val="494B26E8"/>
    <w:rsid w:val="530E4A10"/>
    <w:rsid w:val="55AA3BBB"/>
    <w:rsid w:val="7023779A"/>
    <w:rsid w:val="72D474D3"/>
    <w:rsid w:val="75F063ED"/>
    <w:rsid w:val="7A106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4"/>
      <w:szCs w:val="24"/>
      <w:lang w:val="en-US" w:eastAsia="zh-CN" w:bidi="ar-SA"/>
    </w:rPr>
  </w:style>
  <w:style w:type="paragraph" w:styleId="2">
    <w:name w:val="heading 4"/>
    <w:basedOn w:val="1"/>
    <w:next w:val="1"/>
    <w:link w:val="8"/>
    <w:semiHidden/>
    <w:unhideWhenUsed/>
    <w:qFormat/>
    <w:uiPriority w:val="0"/>
    <w:pPr>
      <w:keepNext/>
      <w:keepLines/>
      <w:spacing w:before="280" w:beforeLines="0" w:beforeAutospacing="0" w:after="290" w:afterLines="0" w:afterAutospacing="0" w:line="240"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标题 4 Char"/>
    <w:link w:val="2"/>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2788</Words>
  <Characters>2946</Characters>
  <Lines>0</Lines>
  <Paragraphs>0</Paragraphs>
  <TotalTime>12</TotalTime>
  <ScaleCrop>false</ScaleCrop>
  <LinksUpToDate>false</LinksUpToDate>
  <CharactersWithSpaces>3190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2024-08-05T15:28:00Z</dcterms:created>
  <dc:creator>严惠芳 律师</dc:creator>
  <cp:lastModifiedBy>惠州市光达实业有限公司</cp:lastModifiedBy>
  <cp:lastPrinted>2025-01-07T09:21:31Z</cp:lastPrinted>
  <dcterms:modified xsi:type="dcterms:W3CDTF">2025-01-07T09:27:31Z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827534877BF44242B6F508CB6757027E_13</vt:lpwstr>
  </property>
  <property fmtid="{D5CDD505-2E9C-101B-9397-08002B2CF9AE}" pid="4" name="KSOTemplateDocerSaveRecord">
    <vt:lpwstr>eyJoZGlkIjoiZjU4ZDg5YWFkMzYxMGY4YTE3NzhiZTNmMWQzNmY2ZTUiLCJ1c2VySWQiOiIyNDI2Mjk0NTYifQ==</vt:lpwstr>
  </property>
</Properties>
</file>