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none"/>
          <w:lang w:val="en-US" w:eastAsia="zh-CN"/>
        </w:rPr>
        <w:t>交易条件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1、投标人必须是自然人或法人或公司，不接受联合体报名。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该物业用作商业用途（除餐饮、娱乐、旅社宾馆、烟油和机动车修理、化工化学易燃易爆、污染空气、环境、噪音扰民等行业外），在未经业主的同意，不能改变使用用途，且必须符合工商、税务、环保等行政部门的要求，否则，终止合同并没收押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3、租期10年，合同签订头5年月租金为中标价格，因需要承租人负责加建聚酯瓦，免其合同内首月（一个月）租金；第6年起至第10年在原有月租金（中标价）基础上递增10%；租赁押金为人民币壹万元整。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4、按原状出租。租赁标的的交付以现状为准，业主不保证移交的标的物无缺损，竞投人不得以因无法避免的客观原因造成的瑕疵为由拒绝接收标的物。竞投人须充分评估标的物因市场变化而带来的各种风险。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5、投标人在取得该物业投标权并签订合同书后，必须对该物业进行瓦面上面（即屋顶）用方管加上一层聚酯瓦，以防、雨水透进物业里面。相关的费用及手续由投标人负责，且必须符合安全、消防等要求，加盖完成后方可开业，如不按此要求，业主有权单方终止合同，不退押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6、成交方须按合同范本签订合同</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惠州市惠城区粮油供应公司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rPr>
          <w:rFonts w:hint="eastAsia" w:ascii="仿宋_GB2312" w:hAnsi="仿宋_GB2312" w:eastAsia="仿宋_GB2312" w:cs="仿宋_GB2312"/>
          <w:sz w:val="32"/>
          <w:szCs w:val="32"/>
          <w:u w:val="none"/>
          <w:lang w:val="en-US" w:eastAsia="zh-CN"/>
        </w:rPr>
        <w:t xml:space="preserve">                       </w:t>
      </w:r>
      <w:bookmarkStart w:id="0" w:name="_GoBack"/>
      <w:bookmarkEnd w:id="0"/>
      <w:r>
        <w:rPr>
          <w:rFonts w:hint="eastAsia" w:ascii="仿宋_GB2312" w:hAnsi="仿宋_GB2312" w:eastAsia="仿宋_GB2312" w:cs="仿宋_GB2312"/>
          <w:sz w:val="32"/>
          <w:szCs w:val="32"/>
          <w:u w:val="none"/>
          <w:lang w:val="en-US" w:eastAsia="zh-CN"/>
        </w:rPr>
        <w:t xml:space="preserve">       2024年4月17日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260FDC"/>
    <w:rsid w:val="0F260FDC"/>
    <w:rsid w:val="542B2386"/>
    <w:rsid w:val="79BF6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2024-04-22T01:29:00Z</dcterms:created>
  <dc:creator>777</dc:creator>
  <cp:lastModifiedBy>777</cp:lastModifiedBy>
  <dcterms:modified xsi:type="dcterms:W3CDTF">2024-04-22T01:43:51Z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2EB60485B5154F159267BE79D57441AE</vt:lpwstr>
  </property>
</Properties>
</file>