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创艺简标宋" w:hAnsi="创艺简标宋" w:eastAsia="创艺简标宋" w:cs="创艺简标宋"/>
          <w:kern w:val="44"/>
          <w:sz w:val="44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　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 xml:space="preserve">            </w:t>
      </w:r>
      <w:r>
        <w:rPr>
          <w:rFonts w:hint="eastAsia" w:ascii="创艺简标宋" w:hAnsi="创艺简标宋" w:eastAsia="创艺简标宋" w:cs="创艺简标宋"/>
          <w:kern w:val="44"/>
          <w:sz w:val="44"/>
          <w:szCs w:val="44"/>
          <w:lang w:val="en-US" w:eastAsia="zh-CN" w:bidi="ar"/>
        </w:rPr>
        <w:t>废铁料</w:t>
      </w:r>
      <w:r>
        <w:rPr>
          <w:rFonts w:hint="eastAsia" w:ascii="创艺简标宋" w:hAnsi="创艺简标宋" w:eastAsia="创艺简标宋" w:cs="创艺简标宋"/>
          <w:kern w:val="44"/>
          <w:sz w:val="44"/>
          <w:szCs w:val="44"/>
          <w:lang w:bidi="ar"/>
        </w:rPr>
        <w:t>买卖合同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
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卖方（以下简称甲方）：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 w:bidi="ar-SA"/>
        </w:rPr>
        <w:t xml:space="preserve">惠州大亚湾港湾投资开发有限公司  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　　买方（以下简称乙方）：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　　根据《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中华人民共和国民法典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》及相关法律法规规定，在平等、自愿、公平和诚实信用的基础上，经双方协商一致，订立本合同。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　　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bidi="ar-SA"/>
        </w:rPr>
        <w:t>材料的名称、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重量、单价和金额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bidi="ar-SA"/>
        </w:rPr>
        <w:t>
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　　材料为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甲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方放置于惠州市惠阳区中兴三路13号港湾大厦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地下室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负二层的废铁料材料，包括排风管及装配配件、空调管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镀锌管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角铁支架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消防铁管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等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，货款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暂估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总价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10.94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万元。</w:t>
      </w:r>
    </w:p>
    <w:tbl>
      <w:tblPr>
        <w:tblStyle w:val="5"/>
        <w:tblpPr w:leftFromText="180" w:rightFromText="180" w:vertAnchor="text" w:horzAnchor="page" w:tblpX="1922" w:tblpY="198"/>
        <w:tblOverlap w:val="never"/>
        <w:tblW w:w="48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260"/>
        <w:gridCol w:w="1057"/>
        <w:gridCol w:w="991"/>
        <w:gridCol w:w="1379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76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材质</w:t>
            </w:r>
          </w:p>
        </w:tc>
        <w:tc>
          <w:tcPr>
            <w:tcW w:w="64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601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重量</w:t>
            </w:r>
          </w:p>
        </w:tc>
        <w:tc>
          <w:tcPr>
            <w:tcW w:w="83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（万元）</w:t>
            </w:r>
          </w:p>
        </w:tc>
        <w:tc>
          <w:tcPr>
            <w:tcW w:w="82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29" w:type="pct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排风管及装配配件</w:t>
            </w:r>
          </w:p>
        </w:tc>
        <w:tc>
          <w:tcPr>
            <w:tcW w:w="764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镀锌铁皮</w:t>
            </w:r>
          </w:p>
        </w:tc>
        <w:tc>
          <w:tcPr>
            <w:tcW w:w="641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601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836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0.196</w:t>
            </w:r>
          </w:p>
        </w:tc>
        <w:tc>
          <w:tcPr>
            <w:tcW w:w="826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pct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空调管</w:t>
            </w:r>
          </w:p>
        </w:tc>
        <w:tc>
          <w:tcPr>
            <w:tcW w:w="764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焊接钢管</w:t>
            </w:r>
          </w:p>
        </w:tc>
        <w:tc>
          <w:tcPr>
            <w:tcW w:w="641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601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6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0.22</w:t>
            </w:r>
          </w:p>
        </w:tc>
        <w:tc>
          <w:tcPr>
            <w:tcW w:w="826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pct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镀锌管</w:t>
            </w:r>
          </w:p>
        </w:tc>
        <w:tc>
          <w:tcPr>
            <w:tcW w:w="764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镀锌钢管</w:t>
            </w:r>
          </w:p>
        </w:tc>
        <w:tc>
          <w:tcPr>
            <w:tcW w:w="641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601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6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0.22</w:t>
            </w:r>
          </w:p>
        </w:tc>
        <w:tc>
          <w:tcPr>
            <w:tcW w:w="826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pct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角铁支架</w:t>
            </w:r>
          </w:p>
        </w:tc>
        <w:tc>
          <w:tcPr>
            <w:tcW w:w="764" w:type="pct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角铁、螺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纹杆</w:t>
            </w:r>
          </w:p>
        </w:tc>
        <w:tc>
          <w:tcPr>
            <w:tcW w:w="641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601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36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0.22</w:t>
            </w:r>
          </w:p>
        </w:tc>
        <w:tc>
          <w:tcPr>
            <w:tcW w:w="826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-SA"/>
              </w:rPr>
              <w:t>消防铁管</w:t>
            </w:r>
          </w:p>
        </w:tc>
        <w:tc>
          <w:tcPr>
            <w:tcW w:w="764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镀锌钢</w:t>
            </w:r>
          </w:p>
        </w:tc>
        <w:tc>
          <w:tcPr>
            <w:tcW w:w="641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601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836" w:type="pct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0.22</w:t>
            </w:r>
          </w:p>
        </w:tc>
        <w:tc>
          <w:tcPr>
            <w:tcW w:w="826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pct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764" w:type="pct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1" w:type="pct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pct"/>
          </w:tcPr>
          <w:p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836" w:type="pct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pct"/>
          </w:tcPr>
          <w:p>
            <w:pPr>
              <w:spacing w:line="56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10.94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备注：以上为暂估重量，具体重量以现场实际称量为准。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二、计量计算方法</w:t>
      </w:r>
    </w:p>
    <w:p>
      <w:pPr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计量方法:过磅计量。磅差须在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3%之内，超出此标准，则按实际过磅量结算。如双方需第三方复磅时，磅差超过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3%时，复磅费由乙方承担，磅差不超过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3%时，复磅费由甲方承担。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bidi="ar-SA"/>
        </w:rPr>
        <w:t>交货时间及方式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
</w:t>
      </w:r>
    </w:p>
    <w:p>
      <w:pPr>
        <w:spacing w:line="560" w:lineRule="exact"/>
        <w:ind w:left="0" w:leftChars="0" w:firstLine="419" w:firstLineChars="131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交货时间：双方签订合同后，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乙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方全额支付货款后，由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乙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方负责材料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运输，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期限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 w:bidi="ar-SA"/>
        </w:rPr>
        <w:t xml:space="preserve"> 1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周 。</w:t>
      </w:r>
    </w:p>
    <w:p>
      <w:pPr>
        <w:spacing w:line="560" w:lineRule="exact"/>
        <w:ind w:left="0" w:leftChars="0" w:firstLine="419" w:firstLineChars="131"/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交货地点：惠州市惠阳区中兴三路13号港湾大厦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。</w:t>
      </w:r>
    </w:p>
    <w:p>
      <w:pPr>
        <w:spacing w:line="560" w:lineRule="exact"/>
        <w:ind w:left="0" w:leftChars="0" w:firstLine="419" w:firstLineChars="131"/>
        <w:rPr>
          <w:rFonts w:hint="eastAsia" w:ascii="仿宋" w:hAnsi="仿宋" w:eastAsia="仿宋" w:cs="宋体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宋体"/>
          <w:sz w:val="32"/>
          <w:szCs w:val="32"/>
          <w:lang w:bidi="ar-SA"/>
        </w:rPr>
        <w:t>装卸、运输由</w:t>
      </w:r>
      <w:r>
        <w:rPr>
          <w:rFonts w:hint="eastAsia" w:ascii="仿宋" w:hAnsi="仿宋" w:eastAsia="仿宋" w:cs="宋体"/>
          <w:sz w:val="32"/>
          <w:szCs w:val="32"/>
          <w:lang w:val="en-US" w:eastAsia="zh-CN" w:bidi="ar-SA"/>
        </w:rPr>
        <w:t>乙</w:t>
      </w:r>
      <w:r>
        <w:rPr>
          <w:rFonts w:hint="eastAsia" w:ascii="仿宋" w:hAnsi="仿宋" w:eastAsia="仿宋" w:cs="宋体"/>
          <w:sz w:val="32"/>
          <w:szCs w:val="32"/>
          <w:lang w:bidi="ar-SA"/>
        </w:rPr>
        <w:t>方负责，费用由</w:t>
      </w:r>
      <w:r>
        <w:rPr>
          <w:rFonts w:hint="eastAsia" w:ascii="仿宋" w:hAnsi="仿宋" w:eastAsia="仿宋" w:cs="宋体"/>
          <w:sz w:val="32"/>
          <w:szCs w:val="32"/>
          <w:lang w:val="en-US" w:eastAsia="zh-CN" w:bidi="ar-SA"/>
        </w:rPr>
        <w:t>乙</w:t>
      </w:r>
      <w:r>
        <w:rPr>
          <w:rFonts w:hint="eastAsia" w:ascii="仿宋" w:hAnsi="仿宋" w:eastAsia="仿宋" w:cs="宋体"/>
          <w:sz w:val="32"/>
          <w:szCs w:val="32"/>
          <w:lang w:bidi="ar-SA"/>
        </w:rPr>
        <w:t>方承担，</w:t>
      </w:r>
      <w:r>
        <w:rPr>
          <w:rFonts w:hint="eastAsia" w:ascii="仿宋" w:hAnsi="仿宋" w:eastAsia="仿宋" w:cs="宋体"/>
          <w:sz w:val="32"/>
          <w:szCs w:val="32"/>
          <w:lang w:val="en-US" w:eastAsia="zh-CN" w:bidi="ar-SA"/>
        </w:rPr>
        <w:t>甲</w:t>
      </w:r>
      <w:r>
        <w:rPr>
          <w:rFonts w:hint="eastAsia" w:ascii="仿宋" w:hAnsi="仿宋" w:eastAsia="仿宋" w:cs="宋体"/>
          <w:sz w:val="32"/>
          <w:szCs w:val="32"/>
          <w:lang w:bidi="ar-SA"/>
        </w:rPr>
        <w:t>方配合</w:t>
      </w:r>
      <w:r>
        <w:rPr>
          <w:rFonts w:hint="eastAsia" w:ascii="仿宋" w:hAnsi="仿宋" w:eastAsia="仿宋" w:cs="宋体"/>
          <w:sz w:val="32"/>
          <w:szCs w:val="32"/>
          <w:lang w:val="en-US" w:eastAsia="zh-CN" w:bidi="ar-SA"/>
        </w:rPr>
        <w:t>进场</w:t>
      </w:r>
      <w:r>
        <w:rPr>
          <w:rFonts w:hint="eastAsia" w:ascii="仿宋" w:hAnsi="仿宋" w:eastAsia="仿宋" w:cs="宋体"/>
          <w:sz w:val="32"/>
          <w:szCs w:val="32"/>
          <w:lang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19" w:firstLineChars="131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）甲方指定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对接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人: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 w:bidi="ar-SA"/>
        </w:rPr>
        <w:t xml:space="preserve">宋文琦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，联系人电话: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 w:bidi="ar-SA"/>
        </w:rPr>
        <w:t xml:space="preserve"> 17503075282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甲乙双方如有人事变动，须及时通知对方，否则，如有延误损失均由有人事变动方负责。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三、货款结算与支付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
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货款支付：本合同甲、乙双方在签订合同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并交货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后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 w:bidi="ar-SA"/>
        </w:rPr>
        <w:t xml:space="preserve"> 5 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日内，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根据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甲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双方签字确认的清单，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乙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方向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甲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方一次性支付人民币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 w:bidi="ar-SA"/>
        </w:rPr>
        <w:t xml:space="preserve"> 拾万玖仟肆百元整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（</w:t>
      </w:r>
      <w:r>
        <w:rPr>
          <w:rFonts w:hint="default" w:ascii="Arial" w:hAnsi="Arial" w:eastAsia="仿宋" w:cs="Arial"/>
          <w:kern w:val="0"/>
          <w:sz w:val="32"/>
          <w:szCs w:val="32"/>
          <w:lang w:bidi="ar-SA"/>
        </w:rPr>
        <w:t>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10.94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万元整）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向乙方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开具的含税价为双方对账金额的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等额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增值税专用发票。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支付方式：采用银行转账。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（3）甲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方指定收款单位名称：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-SA"/>
        </w:rPr>
        <w:t>惠州大亚湾港湾投资开发有限公司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 xml:space="preserve"> 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开户行及账号：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-SA"/>
        </w:rPr>
        <w:t>中国工商银行股份有限公司惠州滨海支行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-SA"/>
        </w:rPr>
        <w:t>2008022709200256945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四、双方权利和义务</w:t>
      </w:r>
    </w:p>
    <w:p>
      <w:pPr>
        <w:spacing w:line="560" w:lineRule="exact"/>
        <w:ind w:firstLine="982" w:firstLineChars="307"/>
        <w:jc w:val="left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甲方的权利和义务：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640" w:firstLineChars="0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（1）甲方向乙方提供排风管及装配配件、空调管、镀锌管、角铁支架、消防铁管等废铁料。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640" w:firstLineChars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（2）甲方提供必要的进场出场条件，保证乙方车辆的停放和工作方便。 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640" w:firstLineChars="0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在材料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运输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时，必须由甲方负责监管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并由甲方记录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材料运输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的品种、数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量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和金额，乙方必须给予配合，严禁私自外运。
　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840" w:firstLineChars="0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乙方的权利和义务：
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　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乙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方负责装卸和货物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运输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。
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乙方车辆经甲方人员批准后方可进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场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内。
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　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合同签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订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后，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乙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方不得无故拒绝接收合同范围内的物品。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　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乙方进入甲方场地，必须遵守甲方安全文明施工等相关管理制度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对不听从甲方管理的人员、车辆，甲方有权清理出场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由此影响施工所造成的一切损失由乙方承担责任。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乙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方有义务按时、如约向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甲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方支付合同价款，否则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乙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方违约。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乙方应保证运输、装卸过程中的安全，若造成甲方及其他第三方的人身财产损失的，全部责任由乙方自行承担。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五、不可抗力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640" w:firstLineChars="0"/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）不可抗力包括因战争、动乱、空中飞行物坠落或其他非甲、乙方责任造成的爆炸、火灾以及十年未遇的风雨、雪、洪、震等自然灾害。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640" w:firstLineChars="0"/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合同双方的任何一方，由于不可抗力事件而影响合同义务的执行时，则延迟履行合同义务的期限相当于不可抗力影响的时间，但是不能因为不可抗力的延迟而调整合同价格。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640" w:firstLineChars="0"/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受到不可抗力影响的一方应在不可抗力事件发生后，尽快将所发生的不可抗力事件的情况通知另一方，并在3天内将有关部门出具的证明文件提交给另一方审阅确认，受影响的一方同时应尽量设法缩小这种影响和由此引起的延误，一旦不可抗力的影响消除后，应将此情况立即通知对方。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640" w:firstLineChars="0"/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）如双方对不可抗力事件的影响估计将延续到120天以上时，双方应通过友好协商解决本合同执行问题。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640" w:firstLineChars="0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六、违约责任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640" w:firstLineChars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1.乙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方在合同约定期限内未按时付清货款，每延期一天，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应按合同货款总额的0.5‰（万分之五）向甲方支付违约金，同时仍应履行付款义务。逾期超过15日的，甲方有权解除本合同。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="0" w:leftChars="0" w:firstLine="640" w:firstLineChars="0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2.任何一方违约导致对方通过诉讼方式维权的，违约方应承担对方因此产生的诉讼费、诉讼保全担保费或保险费、鉴定费、律师费、差旅费等全部费用。</w:t>
      </w:r>
    </w:p>
    <w:p>
      <w:pPr>
        <w:numPr>
          <w:ilvl w:val="0"/>
          <w:numId w:val="0"/>
        </w:numPr>
        <w:spacing w:line="560" w:lineRule="exact"/>
        <w:ind w:left="0" w:leftChars="0" w:firstLine="643" w:firstLineChars="200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七、争议解决
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　　甲乙双方在履行合同时发生争议的，应协商解决。协商不成的，甲、乙双方均有权提交甲方所在地有管辖权的人民法院审理。</w:t>
      </w:r>
    </w:p>
    <w:p>
      <w:pPr>
        <w:numPr>
          <w:ilvl w:val="0"/>
          <w:numId w:val="0"/>
        </w:numPr>
        <w:spacing w:line="560" w:lineRule="exact"/>
        <w:ind w:left="0" w:leftChars="0" w:firstLine="643" w:firstLineChars="200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八、其他约定事项:</w:t>
      </w:r>
    </w:p>
    <w:p>
      <w:pPr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）廉政建设:在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过程中，乙方不得采用行贿、送礼、欺诈、或其他不正当手段企图获得额外利益，如实施上述行为造成甲方经济损失的，乙方承担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切责任，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并予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赔偿，同时无条件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-SA"/>
        </w:rPr>
        <w:t>出甲方的合格供应商名录，情节严重的，移交政府有关部门处理。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九、合同的生效</w:t>
      </w:r>
    </w:p>
    <w:p>
      <w:pPr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（1）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合同如有未尽事宜，经双方协商签订补充协议。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（2）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本合同自双方签章之日起生效。本合同一式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肆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份，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甲乙双方各执两份，具有同等法律效力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。
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 xml:space="preserve">  
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　甲方：（盖章）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乙方：（盖章）
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　法定代表人：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法定代表人：
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firstLine="320" w:firstLineChars="1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 xml:space="preserve">经办人签字：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经办人签字：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　签订时间：　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签订时间：</w:t>
      </w:r>
    </w:p>
    <w:p/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ZTdlMDJhYzMyOTRiMjk2YTdjYTdkNGUzNTgyZTIifQ=="/>
  </w:docVars>
  <w:rsids>
    <w:rsidRoot w:val="0D2C1E01"/>
    <w:rsid w:val="075443A9"/>
    <w:rsid w:val="0D2C1E01"/>
    <w:rsid w:val="0F20658D"/>
    <w:rsid w:val="0F5C3779"/>
    <w:rsid w:val="0F5E67C6"/>
    <w:rsid w:val="18A05273"/>
    <w:rsid w:val="217A0641"/>
    <w:rsid w:val="2EB4055E"/>
    <w:rsid w:val="4FEA004A"/>
    <w:rsid w:val="54305A26"/>
    <w:rsid w:val="584155DE"/>
    <w:rsid w:val="5A9E6C31"/>
    <w:rsid w:val="5D0A7232"/>
    <w:rsid w:val="66F325A9"/>
    <w:rsid w:val="6DEC3EF9"/>
    <w:rsid w:val="705C68C1"/>
    <w:rsid w:val="736435F2"/>
    <w:rsid w:val="7502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1917</Words>
  <Characters>2005</Characters>
  <Lines>0</Lines>
  <Paragraphs>0</Paragraphs>
  <TotalTime>7</TotalTime>
  <ScaleCrop>false</ScaleCrop>
  <LinksUpToDate>false</LinksUpToDate>
  <CharactersWithSpaces>2147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2024-05-10T02:18:00Z</dcterms:created>
  <dc:creator>Niki</dc:creator>
  <cp:lastModifiedBy>Niki</cp:lastModifiedBy>
  <cp:lastPrinted>2024-06-05T03:55:00Z</cp:lastPrinted>
  <dcterms:modified xsi:type="dcterms:W3CDTF">2024-06-13T06:47:21Z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38877175FC6B41978EA3E210B527060E_13</vt:lpwstr>
  </property>
</Properties>
</file>