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8C65A">
      <w:pPr>
        <w:spacing w:line="520" w:lineRule="exact"/>
        <w:jc w:val="center"/>
        <w:rPr>
          <w:rFonts w:ascii="华文中宋" w:hAnsi="华文中宋" w:eastAsia="华文中宋" w:cs="华文中宋"/>
          <w:sz w:val="44"/>
          <w:szCs w:val="44"/>
        </w:rPr>
      </w:pPr>
      <w:r>
        <w:rPr>
          <w:rFonts w:hint="eastAsia" w:ascii="华文中宋" w:hAnsi="华文中宋" w:eastAsia="华文中宋" w:cs="华文中宋"/>
          <w:b/>
          <w:bCs/>
          <w:sz w:val="44"/>
          <w:szCs w:val="44"/>
        </w:rPr>
        <w:t>临时使用土地合同</w:t>
      </w:r>
    </w:p>
    <w:p w14:paraId="5A64FB7D">
      <w:pPr>
        <w:keepNext w:val="0"/>
        <w:keepLines w:val="0"/>
        <w:pageBreakBefore w:val="0"/>
        <w:widowControl w:val="0"/>
        <w:kinsoku/>
        <w:wordWrap/>
        <w:overflowPunct/>
        <w:topLinePunct w:val="0"/>
        <w:autoSpaceDE/>
        <w:autoSpaceDN/>
        <w:bidi w:val="0"/>
        <w:snapToGrid/>
        <w:spacing w:line="560" w:lineRule="exact"/>
        <w:jc w:val="center"/>
        <w:textAlignment w:val="auto"/>
        <w:rPr>
          <w:rFonts w:ascii="仿宋_GB2312" w:hAnsi="仿宋_GB2312" w:eastAsia="仿宋_GB2312" w:cs="仿宋_GB2312"/>
          <w:b/>
          <w:bCs/>
          <w:sz w:val="32"/>
          <w:szCs w:val="32"/>
        </w:rPr>
      </w:pPr>
    </w:p>
    <w:p w14:paraId="3A145A15">
      <w:pPr>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color w:val="C00000"/>
          <w:sz w:val="28"/>
          <w:szCs w:val="28"/>
          <w:lang w:eastAsia="zh-CN"/>
        </w:rPr>
      </w:pPr>
      <w:r>
        <w:rPr>
          <w:rFonts w:hint="eastAsia" w:ascii="仿宋_GB2312" w:hAnsi="仿宋_GB2312" w:eastAsia="仿宋_GB2312" w:cs="仿宋_GB2312"/>
          <w:sz w:val="28"/>
          <w:szCs w:val="28"/>
        </w:rPr>
        <w:t>甲方（出租方）：</w:t>
      </w:r>
      <w:r>
        <w:rPr>
          <w:rFonts w:hint="eastAsia" w:ascii="仿宋_GB2312" w:hAnsi="仿宋_GB2312" w:eastAsia="仿宋_GB2312" w:cs="仿宋_GB2312"/>
          <w:color w:val="C00000"/>
          <w:sz w:val="28"/>
          <w:szCs w:val="28"/>
          <w:lang w:eastAsia="zh-CN"/>
        </w:rPr>
        <w:t>惠州市河南岸经济发展总公司</w:t>
      </w:r>
    </w:p>
    <w:p w14:paraId="49291CC2">
      <w:pPr>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乙方（承租方）：</w:t>
      </w:r>
    </w:p>
    <w:p w14:paraId="4B87CC86">
      <w:pPr>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sz w:val="28"/>
          <w:szCs w:val="28"/>
        </w:rPr>
      </w:pPr>
    </w:p>
    <w:p w14:paraId="67D42841">
      <w:pPr>
        <w:keepNext w:val="0"/>
        <w:keepLines w:val="0"/>
        <w:pageBreakBefore w:val="0"/>
        <w:widowControl w:val="0"/>
        <w:kinsoku/>
        <w:wordWrap/>
        <w:overflowPunct/>
        <w:topLinePunct w:val="0"/>
        <w:autoSpaceDE/>
        <w:autoSpaceDN/>
        <w:bidi w:val="0"/>
        <w:snapToGrid/>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w:t>
      </w:r>
      <w:r>
        <w:rPr>
          <w:rFonts w:hint="eastAsia" w:ascii="仿宋_GB2312" w:hAnsi="仿宋_GB2312" w:eastAsia="仿宋_GB2312" w:cs="仿宋_GB2312"/>
          <w:sz w:val="28"/>
          <w:szCs w:val="28"/>
          <w:lang w:eastAsia="zh-CN"/>
        </w:rPr>
        <w:t>《惠城区政府储备土地管护利用工作指导意见》</w:t>
      </w:r>
      <w:r>
        <w:rPr>
          <w:rFonts w:hint="eastAsia" w:ascii="仿宋_GB2312" w:hAnsi="仿宋_GB2312" w:eastAsia="仿宋_GB2312" w:cs="仿宋_GB2312"/>
          <w:sz w:val="28"/>
          <w:szCs w:val="28"/>
        </w:rPr>
        <w:t>，经甲乙双方友好协商一致，达成以下协议，以资共同遵守。</w:t>
      </w:r>
    </w:p>
    <w:p w14:paraId="6DEF9D37">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地块情况</w:t>
      </w:r>
    </w:p>
    <w:p w14:paraId="5EA418EF">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甲方同意将位于</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rPr>
        <w:t>储备地地块</w:t>
      </w:r>
      <w:r>
        <w:rPr>
          <w:rFonts w:hint="eastAsia" w:ascii="仿宋_GB2312" w:hAnsi="仿宋_GB2312" w:eastAsia="仿宋_GB2312" w:cs="仿宋_GB2312"/>
          <w:sz w:val="28"/>
          <w:szCs w:val="28"/>
        </w:rPr>
        <w:t>，面积为</w:t>
      </w:r>
      <w:r>
        <w:rPr>
          <w:rFonts w:hint="eastAsia" w:ascii="仿宋_GB2312" w:eastAsia="仿宋_GB2312"/>
          <w:sz w:val="28"/>
          <w:szCs w:val="28"/>
          <w:u w:val="single"/>
          <w:lang w:val="en-US" w:eastAsia="zh-CN"/>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平方米</w:t>
      </w:r>
      <w:r>
        <w:rPr>
          <w:rFonts w:hint="eastAsia" w:ascii="仿宋_GB2312" w:hAnsi="仿宋_GB2312" w:eastAsia="仿宋_GB2312" w:cs="仿宋_GB2312"/>
          <w:sz w:val="28"/>
          <w:szCs w:val="28"/>
        </w:rPr>
        <w:t>（以实际测量为准）的政府储备土地按现状（附现状图纸）临时租借给乙方使用。乙方须严格按照《广东省国土资源厅关于加强临时用地管理的通知》规定使用</w:t>
      </w:r>
      <w:r>
        <w:rPr>
          <w:rFonts w:hint="eastAsia" w:ascii="仿宋_GB2312" w:hAnsi="仿宋_GB2312" w:eastAsia="仿宋_GB2312" w:cs="仿宋_GB2312"/>
          <w:sz w:val="28"/>
          <w:szCs w:val="28"/>
          <w:lang w:eastAsia="zh-CN"/>
        </w:rPr>
        <w:t>。</w:t>
      </w:r>
    </w:p>
    <w:p w14:paraId="57155CF2">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临时报建</w:t>
      </w:r>
    </w:p>
    <w:p w14:paraId="7E7D1931">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根据临时用地审批有关政策法规要求，乙方需在本合同约定地块上修建临时建筑的，须事先向甲方报备，并按规定向相关部门（区自然资源局）申请办理临时用地审批手续报建，未经批准不得构建临时建筑。临时建设应符合《惠州市城乡规划管理技术规定》有关要求，临时建设建筑层数不超过</w:t>
      </w:r>
      <w:r>
        <w:rPr>
          <w:rFonts w:hint="eastAsia" w:ascii="仿宋_GB2312" w:hAnsi="仿宋_GB2312" w:eastAsia="仿宋_GB2312" w:cs="仿宋_GB2312"/>
          <w:sz w:val="28"/>
          <w:szCs w:val="28"/>
          <w:lang w:val="en-US" w:eastAsia="zh-CN"/>
        </w:rPr>
        <w:t>2层，总高度不超过10米，建筑物基地面积占总用地面积的比例原则上不超过50%，不得建设地下室或半地下室，</w:t>
      </w:r>
      <w:r>
        <w:rPr>
          <w:rFonts w:hint="eastAsia" w:ascii="仿宋_GB2312" w:hAnsi="仿宋_GB2312" w:eastAsia="仿宋_GB2312" w:cs="仿宋_GB2312"/>
          <w:sz w:val="28"/>
          <w:szCs w:val="28"/>
        </w:rPr>
        <w:t>不得</w:t>
      </w:r>
      <w:r>
        <w:rPr>
          <w:rFonts w:hint="eastAsia" w:ascii="仿宋_GB2312" w:hAnsi="仿宋_GB2312" w:eastAsia="仿宋_GB2312" w:cs="仿宋_GB2312"/>
          <w:sz w:val="28"/>
          <w:szCs w:val="28"/>
          <w:lang w:eastAsia="zh-CN"/>
        </w:rPr>
        <w:t>采用现浇钢筋混凝土等永久性结构形式，如采用装配式建筑，就选用方便拆除的结构形式</w:t>
      </w:r>
      <w:r>
        <w:rPr>
          <w:rFonts w:hint="eastAsia" w:ascii="仿宋_GB2312" w:hAnsi="仿宋_GB2312" w:eastAsia="仿宋_GB2312" w:cs="仿宋_GB2312"/>
          <w:sz w:val="28"/>
          <w:szCs w:val="28"/>
        </w:rPr>
        <w:t>。</w:t>
      </w:r>
    </w:p>
    <w:p w14:paraId="3DA80B33">
      <w:pPr>
        <w:keepNext w:val="0"/>
        <w:keepLines w:val="0"/>
        <w:pageBreakBefore w:val="0"/>
        <w:widowControl w:val="0"/>
        <w:numPr>
          <w:ilvl w:val="0"/>
          <w:numId w:val="0"/>
        </w:numPr>
        <w:kinsoku/>
        <w:wordWrap/>
        <w:overflowPunct/>
        <w:topLinePunct w:val="0"/>
        <w:autoSpaceDE/>
        <w:autoSpaceDN/>
        <w:bidi w:val="0"/>
        <w:snapToGrid/>
        <w:spacing w:line="56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临时建设应避免过度投入，原则上不得超过租金的三倍。</w:t>
      </w:r>
    </w:p>
    <w:p w14:paraId="67C24575">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b/>
          <w:bCs/>
          <w:color w:val="auto"/>
          <w:sz w:val="28"/>
          <w:szCs w:val="28"/>
          <w:lang w:eastAsia="zh-CN"/>
        </w:rPr>
        <w:t>租赁用途：</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w:t>
      </w:r>
    </w:p>
    <w:p w14:paraId="015A8C51">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租赁期限</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日至</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w:t>
      </w:r>
    </w:p>
    <w:p w14:paraId="540A946D">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租金标准及支付方式：</w:t>
      </w:r>
    </w:p>
    <w:p w14:paraId="68398E0F">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租金为每月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元/㎡，合计每月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元（含税），按月支付。</w:t>
      </w:r>
      <w:r>
        <w:rPr>
          <w:rFonts w:hint="eastAsia" w:ascii="仿宋_GB2312" w:hAnsi="仿宋_GB2312" w:eastAsia="仿宋_GB2312" w:cs="仿宋_GB2312"/>
          <w:sz w:val="28"/>
          <w:szCs w:val="28"/>
          <w:lang w:val="en-US" w:eastAsia="zh-CN"/>
        </w:rPr>
        <w:t>乙方每月10日前支付租金至</w:t>
      </w:r>
      <w:r>
        <w:rPr>
          <w:rFonts w:hint="eastAsia" w:ascii="仿宋_GB2312" w:hAnsi="仿宋_GB2312" w:eastAsia="仿宋_GB2312" w:cs="仿宋_GB2312"/>
          <w:sz w:val="28"/>
          <w:szCs w:val="28"/>
        </w:rPr>
        <w:t>指定的银行账户（户名：惠州市河南岸经济发展总公司，开户行：惠州市农村商业银行新岸分理处，账户：80020000002081376）</w:t>
      </w:r>
      <w:r>
        <w:rPr>
          <w:rFonts w:hint="eastAsia" w:ascii="仿宋_GB2312" w:hAnsi="仿宋_GB2312" w:eastAsia="仿宋_GB2312" w:cs="仿宋_GB2312"/>
          <w:sz w:val="28"/>
          <w:szCs w:val="28"/>
          <w:lang w:eastAsia="zh-CN"/>
        </w:rPr>
        <w:t>。</w:t>
      </w:r>
    </w:p>
    <w:p w14:paraId="217A512C">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在本合同签订时，乙方缴纳保证金</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按月租金的3倍收取</w:t>
      </w:r>
      <w:r>
        <w:rPr>
          <w:rFonts w:hint="eastAsia" w:ascii="仿宋_GB2312" w:hAnsi="仿宋_GB2312" w:eastAsia="仿宋_GB2312" w:cs="仿宋_GB2312"/>
          <w:sz w:val="28"/>
          <w:szCs w:val="28"/>
          <w:lang w:eastAsia="zh-CN"/>
        </w:rPr>
        <w:t>）至上述指定银行账户，</w:t>
      </w:r>
      <w:r>
        <w:rPr>
          <w:rFonts w:hint="eastAsia" w:ascii="仿宋_GB2312" w:hAnsi="仿宋_GB2312" w:eastAsia="仿宋_GB2312" w:cs="仿宋_GB2312"/>
          <w:sz w:val="28"/>
          <w:szCs w:val="28"/>
        </w:rPr>
        <w:t>甲方在乙方无违约的情况下，在合同期满后向乙方退回保证金（不计利息）。如乙方违约，甲方有权单方终止合同，无条件收回土地并不退还乙方履约保证金</w:t>
      </w:r>
      <w:r>
        <w:rPr>
          <w:rFonts w:hint="eastAsia" w:ascii="仿宋_GB2312" w:hAnsi="仿宋_GB2312" w:eastAsia="仿宋_GB2312" w:cs="仿宋_GB2312"/>
          <w:sz w:val="28"/>
          <w:szCs w:val="28"/>
          <w:lang w:eastAsia="zh-CN"/>
        </w:rPr>
        <w:t>。</w:t>
      </w:r>
    </w:p>
    <w:p w14:paraId="0F69FC30">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甲乙双方权利义务</w:t>
      </w:r>
    </w:p>
    <w:p w14:paraId="5D93C171">
      <w:pPr>
        <w:keepNext w:val="0"/>
        <w:keepLines w:val="0"/>
        <w:pageBreakBefore w:val="0"/>
        <w:widowControl w:val="0"/>
        <w:numPr>
          <w:ilvl w:val="0"/>
          <w:numId w:val="2"/>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甲方有权按照本合同约定收取租金。</w:t>
      </w:r>
    </w:p>
    <w:p w14:paraId="33FCEC4E">
      <w:pPr>
        <w:keepNext w:val="0"/>
        <w:keepLines w:val="0"/>
        <w:pageBreakBefore w:val="0"/>
        <w:widowControl w:val="0"/>
        <w:numPr>
          <w:ilvl w:val="0"/>
          <w:numId w:val="2"/>
        </w:numPr>
        <w:kinsoku/>
        <w:wordWrap/>
        <w:overflowPunct/>
        <w:topLinePunct w:val="0"/>
        <w:autoSpaceDE/>
        <w:autoSpaceDN/>
        <w:bidi w:val="0"/>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val="0"/>
          <w:bCs w:val="0"/>
          <w:sz w:val="28"/>
          <w:szCs w:val="28"/>
          <w:lang w:val="en-US" w:eastAsia="zh-CN"/>
        </w:rPr>
        <w:t>乙方有权按照本合同约定合理</w:t>
      </w:r>
      <w:r>
        <w:rPr>
          <w:rFonts w:hint="eastAsia" w:ascii="仿宋_GB2312" w:hAnsi="仿宋_GB2312" w:eastAsia="仿宋_GB2312" w:cs="仿宋_GB2312"/>
          <w:sz w:val="28"/>
          <w:szCs w:val="28"/>
        </w:rPr>
        <w:t>使用</w:t>
      </w:r>
      <w:r>
        <w:rPr>
          <w:rFonts w:hint="eastAsia" w:ascii="仿宋_GB2312" w:hAnsi="仿宋_GB2312" w:eastAsia="仿宋_GB2312" w:cs="仿宋_GB2312"/>
          <w:sz w:val="28"/>
          <w:szCs w:val="28"/>
          <w:lang w:eastAsia="zh-CN"/>
        </w:rPr>
        <w:t>租赁地块，避免过度投入。</w:t>
      </w:r>
    </w:p>
    <w:p w14:paraId="1EC936BA">
      <w:pPr>
        <w:keepNext w:val="0"/>
        <w:keepLines w:val="0"/>
        <w:pageBreakBefore w:val="0"/>
        <w:widowControl w:val="0"/>
        <w:numPr>
          <w:ilvl w:val="0"/>
          <w:numId w:val="2"/>
        </w:numPr>
        <w:kinsoku/>
        <w:wordWrap/>
        <w:overflowPunct/>
        <w:topLinePunct w:val="0"/>
        <w:autoSpaceDE/>
        <w:autoSpaceDN/>
        <w:bidi w:val="0"/>
        <w:snapToGrid/>
        <w:spacing w:line="560" w:lineRule="exact"/>
        <w:ind w:firstLine="560"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sz w:val="28"/>
          <w:szCs w:val="28"/>
        </w:rPr>
        <w:t>乙方在租赁期间必须守法经营，遵守国家有关法律、法规，自负盈亏，并负责经营期间所发生的一切经济责任、安全生产责任、卫生管理责任、劳务纠纷和其他法律责任，与甲方无关。</w:t>
      </w:r>
    </w:p>
    <w:p w14:paraId="7C9D30B3">
      <w:pPr>
        <w:keepNext w:val="0"/>
        <w:keepLines w:val="0"/>
        <w:pageBreakBefore w:val="0"/>
        <w:widowControl w:val="0"/>
        <w:numPr>
          <w:ilvl w:val="0"/>
          <w:numId w:val="2"/>
        </w:numPr>
        <w:kinsoku/>
        <w:wordWrap/>
        <w:overflowPunct/>
        <w:topLinePunct w:val="0"/>
        <w:autoSpaceDE/>
        <w:autoSpaceDN/>
        <w:bidi w:val="0"/>
        <w:snapToGrid/>
        <w:spacing w:line="560" w:lineRule="exact"/>
        <w:ind w:firstLine="560"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rPr>
        <w:t>如乙方承租的地块上存在安全隐患的，乙方应采取安全防护措施，设置警示牌，确保不发生人员伤亡事件，由此所发生的事件由乙方负责。</w:t>
      </w:r>
    </w:p>
    <w:p w14:paraId="63FEC6AF">
      <w:pPr>
        <w:keepNext w:val="0"/>
        <w:keepLines w:val="0"/>
        <w:pageBreakBefore w:val="0"/>
        <w:widowControl w:val="0"/>
        <w:numPr>
          <w:ilvl w:val="0"/>
          <w:numId w:val="2"/>
        </w:numPr>
        <w:kinsoku/>
        <w:wordWrap/>
        <w:overflowPunct/>
        <w:topLinePunct w:val="0"/>
        <w:autoSpaceDE/>
        <w:autoSpaceDN/>
        <w:bidi w:val="0"/>
        <w:snapToGrid/>
        <w:spacing w:line="560" w:lineRule="exact"/>
        <w:ind w:firstLine="562"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如遇政府规划变更、</w:t>
      </w:r>
      <w:r>
        <w:rPr>
          <w:rFonts w:hint="eastAsia" w:ascii="仿宋_GB2312" w:hAnsi="仿宋_GB2312" w:eastAsia="仿宋_GB2312" w:cs="仿宋_GB2312"/>
          <w:b/>
          <w:bCs/>
          <w:sz w:val="28"/>
          <w:szCs w:val="28"/>
          <w:lang w:eastAsia="zh-CN"/>
        </w:rPr>
        <w:t>政策变化、上级政府拟出让、</w:t>
      </w:r>
      <w:r>
        <w:rPr>
          <w:rFonts w:hint="eastAsia" w:ascii="仿宋_GB2312" w:hAnsi="仿宋_GB2312" w:eastAsia="仿宋_GB2312" w:cs="仿宋_GB2312"/>
          <w:b/>
          <w:bCs/>
          <w:sz w:val="28"/>
          <w:szCs w:val="28"/>
        </w:rPr>
        <w:t>项目用地方需要清场等政策原因或其他不可抗力等因素，需要使用该土地的，</w:t>
      </w:r>
      <w:r>
        <w:rPr>
          <w:rFonts w:hint="eastAsia" w:ascii="仿宋_GB2312" w:hAnsi="仿宋_GB2312" w:eastAsia="仿宋_GB2312" w:cs="仿宋_GB2312"/>
          <w:b/>
          <w:bCs/>
          <w:sz w:val="28"/>
          <w:szCs w:val="28"/>
          <w:lang w:eastAsia="zh-CN"/>
        </w:rPr>
        <w:t>甲方有权</w:t>
      </w:r>
      <w:r>
        <w:rPr>
          <w:rFonts w:hint="eastAsia" w:ascii="仿宋_GB2312" w:hAnsi="仿宋_GB2312" w:eastAsia="仿宋_GB2312" w:cs="仿宋_GB2312"/>
          <w:b/>
          <w:bCs/>
          <w:sz w:val="28"/>
          <w:szCs w:val="28"/>
        </w:rPr>
        <w:t>终止本合同</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乙方必须无条件服从</w:t>
      </w:r>
      <w:r>
        <w:rPr>
          <w:rFonts w:hint="eastAsia" w:ascii="仿宋_GB2312" w:hAnsi="仿宋_GB2312" w:eastAsia="仿宋_GB2312" w:cs="仿宋_GB2312"/>
          <w:b/>
          <w:bCs/>
          <w:sz w:val="28"/>
          <w:szCs w:val="28"/>
          <w:lang w:eastAsia="zh-CN"/>
        </w:rPr>
        <w:t>，并在限期内</w:t>
      </w:r>
      <w:r>
        <w:rPr>
          <w:rFonts w:hint="eastAsia" w:ascii="仿宋_GB2312" w:hAnsi="仿宋_GB2312" w:eastAsia="仿宋_GB2312" w:cs="仿宋_GB2312"/>
          <w:b/>
          <w:bCs/>
          <w:sz w:val="28"/>
          <w:szCs w:val="28"/>
        </w:rPr>
        <w:t>自行负责清场、搬迁</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不得对甲方提出任何补偿要求。</w:t>
      </w:r>
      <w:r>
        <w:rPr>
          <w:rFonts w:hint="eastAsia" w:ascii="仿宋_GB2312" w:hAnsi="仿宋_GB2312" w:eastAsia="仿宋_GB2312" w:cs="仿宋_GB2312"/>
          <w:b/>
          <w:bCs/>
          <w:sz w:val="28"/>
          <w:szCs w:val="28"/>
          <w:lang w:eastAsia="zh-CN"/>
        </w:rPr>
        <w:t>清场、搬迁完毕后，</w:t>
      </w:r>
      <w:r>
        <w:rPr>
          <w:rFonts w:hint="eastAsia" w:ascii="仿宋_GB2312" w:hAnsi="仿宋_GB2312" w:eastAsia="仿宋_GB2312" w:cs="仿宋_GB2312"/>
          <w:sz w:val="28"/>
          <w:szCs w:val="28"/>
        </w:rPr>
        <w:t>甲方无息退还乙方履约保证金。</w:t>
      </w:r>
    </w:p>
    <w:p w14:paraId="221C1085">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违约责任</w:t>
      </w:r>
    </w:p>
    <w:p w14:paraId="1C1F4182">
      <w:pPr>
        <w:keepNext w:val="0"/>
        <w:keepLines w:val="0"/>
        <w:pageBreakBefore w:val="0"/>
        <w:widowControl w:val="0"/>
        <w:numPr>
          <w:ilvl w:val="0"/>
          <w:numId w:val="3"/>
        </w:numPr>
        <w:kinsoku/>
        <w:wordWrap/>
        <w:overflowPunct/>
        <w:topLinePunct w:val="0"/>
        <w:autoSpaceDE/>
        <w:autoSpaceDN/>
        <w:bidi w:val="0"/>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乙方不得将地块私自作转租、抵押等处置</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否则甲方有权单方终止合同，不退还乙方履约保证金，由此造成的法律责任和损失由乙方承担</w:t>
      </w:r>
      <w:r>
        <w:rPr>
          <w:rFonts w:hint="eastAsia" w:ascii="仿宋_GB2312" w:hAnsi="仿宋_GB2312" w:eastAsia="仿宋_GB2312" w:cs="仿宋_GB2312"/>
          <w:sz w:val="28"/>
          <w:szCs w:val="28"/>
          <w:lang w:eastAsia="zh-CN"/>
        </w:rPr>
        <w:t>。</w:t>
      </w:r>
    </w:p>
    <w:p w14:paraId="42DD7097">
      <w:pPr>
        <w:keepNext w:val="0"/>
        <w:keepLines w:val="0"/>
        <w:pageBreakBefore w:val="0"/>
        <w:widowControl w:val="0"/>
        <w:numPr>
          <w:ilvl w:val="0"/>
          <w:numId w:val="3"/>
        </w:numPr>
        <w:kinsoku/>
        <w:wordWrap/>
        <w:overflowPunct/>
        <w:topLinePunct w:val="0"/>
        <w:autoSpaceDE/>
        <w:autoSpaceDN/>
        <w:bidi w:val="0"/>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如乙方未按本合同第二条约定建构临时建筑或在地块上构筑永久性建筑的，</w:t>
      </w:r>
      <w:r>
        <w:rPr>
          <w:rFonts w:hint="eastAsia" w:ascii="仿宋_GB2312" w:hAnsi="仿宋_GB2312" w:eastAsia="仿宋_GB2312" w:cs="仿宋_GB2312"/>
          <w:sz w:val="28"/>
          <w:szCs w:val="28"/>
        </w:rPr>
        <w:t>甲方有权单方终止合同，不退还乙方履约保证金，由此造成的法律责任和损失由乙方承担</w:t>
      </w:r>
      <w:r>
        <w:rPr>
          <w:rFonts w:hint="eastAsia" w:ascii="仿宋_GB2312" w:hAnsi="仿宋_GB2312" w:eastAsia="仿宋_GB2312" w:cs="仿宋_GB2312"/>
          <w:sz w:val="28"/>
          <w:szCs w:val="28"/>
          <w:lang w:eastAsia="zh-CN"/>
        </w:rPr>
        <w:t>。</w:t>
      </w:r>
    </w:p>
    <w:p w14:paraId="027C3D24">
      <w:pPr>
        <w:keepNext w:val="0"/>
        <w:keepLines w:val="0"/>
        <w:pageBreakBefore w:val="0"/>
        <w:widowControl w:val="0"/>
        <w:numPr>
          <w:ilvl w:val="0"/>
          <w:numId w:val="3"/>
        </w:numPr>
        <w:kinsoku/>
        <w:wordWrap/>
        <w:overflowPunct/>
        <w:topLinePunct w:val="0"/>
        <w:autoSpaceDE/>
        <w:autoSpaceDN/>
        <w:bidi w:val="0"/>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如乙方逾期缴纳租金，每逾期一日，则乙方须按月租金的3‰支付甲方违约金。逾期一个月经催缴仍未交租金的，甲方有权单方终止合同，并不再退还乙方履约保证金。</w:t>
      </w:r>
    </w:p>
    <w:p w14:paraId="15EB262F">
      <w:pPr>
        <w:keepNext w:val="0"/>
        <w:keepLines w:val="0"/>
        <w:pageBreakBefore w:val="0"/>
        <w:widowControl w:val="0"/>
        <w:numPr>
          <w:ilvl w:val="0"/>
          <w:numId w:val="3"/>
        </w:numPr>
        <w:kinsoku/>
        <w:wordWrap/>
        <w:overflowPunct/>
        <w:topLinePunct w:val="0"/>
        <w:autoSpaceDE/>
        <w:autoSpaceDN/>
        <w:bidi w:val="0"/>
        <w:snapToGrid/>
        <w:spacing w:line="56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如乙方未在甲方要求的限期内</w:t>
      </w:r>
      <w:r>
        <w:rPr>
          <w:rFonts w:hint="eastAsia" w:ascii="仿宋_GB2312" w:hAnsi="仿宋_GB2312" w:eastAsia="仿宋_GB2312" w:cs="仿宋_GB2312"/>
          <w:b/>
          <w:bCs/>
          <w:sz w:val="28"/>
          <w:szCs w:val="28"/>
        </w:rPr>
        <w:t>自行</w:t>
      </w:r>
      <w:r>
        <w:rPr>
          <w:rFonts w:hint="eastAsia" w:ascii="仿宋_GB2312" w:hAnsi="仿宋_GB2312" w:eastAsia="仿宋_GB2312" w:cs="仿宋_GB2312"/>
          <w:b/>
          <w:bCs/>
          <w:sz w:val="28"/>
          <w:szCs w:val="28"/>
          <w:lang w:eastAsia="zh-CN"/>
        </w:rPr>
        <w:t>完成</w:t>
      </w:r>
      <w:r>
        <w:rPr>
          <w:rFonts w:hint="eastAsia" w:ascii="仿宋_GB2312" w:hAnsi="仿宋_GB2312" w:eastAsia="仿宋_GB2312" w:cs="仿宋_GB2312"/>
          <w:b/>
          <w:bCs/>
          <w:sz w:val="28"/>
          <w:szCs w:val="28"/>
        </w:rPr>
        <w:t>负责清场、搬迁</w:t>
      </w:r>
      <w:r>
        <w:rPr>
          <w:rFonts w:hint="eastAsia" w:ascii="仿宋_GB2312" w:hAnsi="仿宋_GB2312" w:eastAsia="仿宋_GB2312" w:cs="仿宋_GB2312"/>
          <w:b/>
          <w:bCs/>
          <w:sz w:val="28"/>
          <w:szCs w:val="28"/>
          <w:lang w:eastAsia="zh-CN"/>
        </w:rPr>
        <w:t>的，甲方有权采取一切必要措施要求乙方撤离，乙方未搬离的物品视为乙方的抛弃物，甲方有权自行处理并要求乙方支付相关处理费用，</w:t>
      </w:r>
      <w:r>
        <w:rPr>
          <w:rFonts w:hint="eastAsia" w:ascii="仿宋_GB2312" w:hAnsi="仿宋_GB2312" w:eastAsia="仿宋_GB2312" w:cs="仿宋_GB2312"/>
          <w:sz w:val="28"/>
          <w:szCs w:val="28"/>
          <w:lang w:eastAsia="zh-CN"/>
        </w:rPr>
        <w:t>并</w:t>
      </w:r>
      <w:r>
        <w:rPr>
          <w:rFonts w:hint="eastAsia" w:ascii="仿宋_GB2312" w:hAnsi="仿宋_GB2312" w:eastAsia="仿宋_GB2312" w:cs="仿宋_GB2312"/>
          <w:sz w:val="28"/>
          <w:szCs w:val="28"/>
        </w:rPr>
        <w:t>不再退还乙方履约保证金。</w:t>
      </w:r>
    </w:p>
    <w:p w14:paraId="36535667">
      <w:pPr>
        <w:keepNext w:val="0"/>
        <w:keepLines w:val="0"/>
        <w:pageBreakBefore w:val="0"/>
        <w:widowControl w:val="0"/>
        <w:numPr>
          <w:ilvl w:val="0"/>
          <w:numId w:val="3"/>
        </w:numPr>
        <w:kinsoku/>
        <w:wordWrap/>
        <w:overflowPunct/>
        <w:topLinePunct w:val="0"/>
        <w:autoSpaceDE/>
        <w:autoSpaceDN/>
        <w:bidi w:val="0"/>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如乙方中途终止合同，乙方支付的保证金</w:t>
      </w:r>
      <w:r>
        <w:rPr>
          <w:rFonts w:hint="eastAsia" w:ascii="仿宋_GB2312" w:hAnsi="仿宋_GB2312" w:eastAsia="仿宋_GB2312" w:cs="仿宋_GB2312"/>
          <w:sz w:val="28"/>
          <w:szCs w:val="28"/>
          <w:lang w:eastAsia="zh-CN"/>
        </w:rPr>
        <w:t>不</w:t>
      </w:r>
      <w:r>
        <w:rPr>
          <w:rFonts w:hint="eastAsia" w:ascii="仿宋_GB2312" w:hAnsi="仿宋_GB2312" w:eastAsia="仿宋_GB2312" w:cs="仿宋_GB2312"/>
          <w:sz w:val="28"/>
          <w:szCs w:val="28"/>
        </w:rPr>
        <w:t>予退回。</w:t>
      </w:r>
    </w:p>
    <w:p w14:paraId="223392D7">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送达地址确认</w:t>
      </w:r>
    </w:p>
    <w:p w14:paraId="13EB7C08">
      <w:pPr>
        <w:keepNext w:val="0"/>
        <w:keepLines w:val="0"/>
        <w:pageBreakBefore w:val="0"/>
        <w:widowControl w:val="0"/>
        <w:kinsoku/>
        <w:wordWrap/>
        <w:overflowPunct/>
        <w:topLinePunct w:val="0"/>
        <w:autoSpaceDE/>
        <w:autoSpaceDN/>
        <w:bidi w:val="0"/>
        <w:snapToGrid/>
        <w:spacing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甲方：</w:t>
      </w:r>
      <w:r>
        <w:rPr>
          <w:rFonts w:hint="eastAsia" w:ascii="仿宋_GB2312" w:hAnsi="仿宋_GB2312" w:eastAsia="仿宋_GB2312" w:cs="仿宋_GB2312"/>
          <w:b/>
          <w:bCs/>
          <w:sz w:val="28"/>
          <w:szCs w:val="28"/>
          <w:lang w:eastAsia="zh-CN"/>
        </w:rPr>
        <w:t>惠州市河南岸经济发展总公司</w:t>
      </w:r>
      <w:r>
        <w:rPr>
          <w:rFonts w:hint="eastAsia" w:ascii="仿宋_GB2312" w:hAnsi="仿宋_GB2312" w:eastAsia="仿宋_GB2312" w:cs="仿宋_GB2312"/>
          <w:b/>
          <w:bCs/>
          <w:sz w:val="28"/>
          <w:szCs w:val="28"/>
        </w:rPr>
        <w:t>，送达地址：惠州市惠城区河南岸新岸路32号 ，电话：0752-25269</w:t>
      </w:r>
      <w:r>
        <w:rPr>
          <w:rFonts w:hint="eastAsia" w:ascii="仿宋_GB2312" w:hAnsi="仿宋_GB2312" w:eastAsia="仿宋_GB2312" w:cs="仿宋_GB2312"/>
          <w:b/>
          <w:bCs/>
          <w:sz w:val="28"/>
          <w:szCs w:val="28"/>
          <w:lang w:val="en-US" w:eastAsia="zh-CN"/>
        </w:rPr>
        <w:t>26</w:t>
      </w:r>
      <w:r>
        <w:rPr>
          <w:rFonts w:hint="eastAsia" w:ascii="仿宋_GB2312" w:hAnsi="仿宋_GB2312" w:eastAsia="仿宋_GB2312" w:cs="仿宋_GB2312"/>
          <w:b/>
          <w:bCs/>
          <w:sz w:val="28"/>
          <w:szCs w:val="28"/>
        </w:rPr>
        <w:t>；</w:t>
      </w:r>
    </w:p>
    <w:p w14:paraId="0C9B4202">
      <w:pPr>
        <w:keepNext w:val="0"/>
        <w:keepLines w:val="0"/>
        <w:pageBreakBefore w:val="0"/>
        <w:widowControl w:val="0"/>
        <w:kinsoku/>
        <w:wordWrap/>
        <w:overflowPunct/>
        <w:topLinePunct w:val="0"/>
        <w:autoSpaceDE/>
        <w:autoSpaceDN/>
        <w:bidi w:val="0"/>
        <w:snapToGrid/>
        <w:spacing w:line="56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乙方：</w:t>
      </w:r>
      <w:r>
        <w:rPr>
          <w:rFonts w:hint="eastAsia" w:ascii="仿宋_GB2312" w:hAnsi="仿宋_GB2312" w:eastAsia="仿宋_GB2312" w:cs="仿宋_GB2312"/>
          <w:b/>
          <w:bCs/>
          <w:sz w:val="28"/>
          <w:szCs w:val="28"/>
          <w:u w:val="single"/>
          <w:lang w:val="en-US" w:eastAsia="zh-CN"/>
        </w:rPr>
        <w:t xml:space="preserve">                   </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送达地址：</w:t>
      </w:r>
      <w:r>
        <w:rPr>
          <w:rFonts w:hint="eastAsia" w:ascii="仿宋_GB2312" w:hAnsi="仿宋_GB2312" w:eastAsia="仿宋_GB2312" w:cs="仿宋_GB2312"/>
          <w:b/>
          <w:bCs/>
          <w:sz w:val="28"/>
          <w:szCs w:val="28"/>
          <w:u w:val="single"/>
          <w:lang w:val="en-US" w:eastAsia="zh-CN"/>
        </w:rPr>
        <w:t xml:space="preserve">                    </w:t>
      </w:r>
      <w:r>
        <w:rPr>
          <w:rFonts w:hint="eastAsia" w:ascii="仿宋_GB2312" w:hAnsi="仿宋_GB2312" w:eastAsia="仿宋_GB2312" w:cs="仿宋_GB2312"/>
          <w:b/>
          <w:bCs/>
          <w:sz w:val="28"/>
          <w:szCs w:val="28"/>
          <w:lang w:val="en-US" w:eastAsia="zh-CN"/>
        </w:rPr>
        <w:t xml:space="preserve">，    </w:t>
      </w:r>
    </w:p>
    <w:p w14:paraId="69674C56">
      <w:pPr>
        <w:keepNext w:val="0"/>
        <w:keepLines w:val="0"/>
        <w:pageBreakBefore w:val="0"/>
        <w:widowControl w:val="0"/>
        <w:kinsoku/>
        <w:wordWrap/>
        <w:overflowPunct/>
        <w:topLinePunct w:val="0"/>
        <w:autoSpaceDE/>
        <w:autoSpaceDN/>
        <w:bidi w:val="0"/>
        <w:snapToGrid/>
        <w:spacing w:line="56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电话：</w:t>
      </w:r>
      <w:r>
        <w:rPr>
          <w:rFonts w:hint="eastAsia" w:ascii="仿宋_GB2312" w:hAnsi="仿宋_GB2312" w:eastAsia="仿宋_GB2312" w:cs="仿宋_GB2312"/>
          <w:b/>
          <w:bCs/>
          <w:sz w:val="28"/>
          <w:szCs w:val="28"/>
          <w:u w:val="single"/>
          <w:lang w:val="en-US" w:eastAsia="zh-CN"/>
        </w:rPr>
        <w:t xml:space="preserve">             </w:t>
      </w:r>
      <w:r>
        <w:rPr>
          <w:rFonts w:hint="eastAsia" w:ascii="仿宋_GB2312" w:hAnsi="仿宋_GB2312" w:eastAsia="仿宋_GB2312" w:cs="仿宋_GB2312"/>
          <w:b/>
          <w:bCs/>
          <w:sz w:val="28"/>
          <w:szCs w:val="28"/>
          <w:lang w:val="en-US" w:eastAsia="zh-CN"/>
        </w:rPr>
        <w:t>。</w:t>
      </w:r>
    </w:p>
    <w:p w14:paraId="54F8255C">
      <w:pPr>
        <w:keepNext w:val="0"/>
        <w:keepLines w:val="0"/>
        <w:pageBreakBefore w:val="0"/>
        <w:widowControl w:val="0"/>
        <w:kinsoku/>
        <w:wordWrap/>
        <w:overflowPunct/>
        <w:topLinePunct w:val="0"/>
        <w:autoSpaceDE/>
        <w:autoSpaceDN/>
        <w:bidi w:val="0"/>
        <w:snapToGrid/>
        <w:spacing w:line="56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甲乙双方应按照上述地址及联系方式送达书面文书材料，签收日期为送达日期，若无人签收或者拒收文书的，退回之日为送达之日；如需变更送达地址，应及时书面告知对方，否则由此产生的一切责任自负。</w:t>
      </w:r>
    </w:p>
    <w:p w14:paraId="14262827">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纠纷解决</w:t>
      </w:r>
    </w:p>
    <w:p w14:paraId="7BD8964A">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本合同在履行中发生的争议，由甲乙双方协商解决；如协商不成，任何一方均可向惠城区人民法院提起诉讼。</w:t>
      </w:r>
      <w:r>
        <w:rPr>
          <w:rFonts w:hint="eastAsia" w:ascii="仿宋_GB2312" w:hAnsi="仿宋_GB2312" w:eastAsia="仿宋_GB2312" w:cs="仿宋_GB2312"/>
          <w:b/>
          <w:bCs/>
          <w:sz w:val="28"/>
          <w:szCs w:val="28"/>
        </w:rPr>
        <w:t>因本合同引起的争议纠纷，由违约方承担守约方因此而支出的包括但不限于诉讼费、律师费、保全费、担保费、鉴定费、执行费等相关费用。</w:t>
      </w:r>
    </w:p>
    <w:p w14:paraId="552F0CCC">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b/>
          <w:bCs/>
          <w:sz w:val="28"/>
          <w:szCs w:val="28"/>
        </w:rPr>
      </w:pPr>
      <w:r>
        <w:rPr>
          <w:rFonts w:hint="eastAsia" w:ascii="仿宋_GB2312" w:eastAsia="仿宋_GB2312"/>
          <w:b/>
          <w:bCs/>
          <w:sz w:val="28"/>
          <w:szCs w:val="28"/>
          <w:lang w:eastAsia="zh-CN"/>
        </w:rPr>
        <w:t>合同的生效和终止</w:t>
      </w:r>
    </w:p>
    <w:p w14:paraId="32E32DF0">
      <w:pPr>
        <w:keepNext w:val="0"/>
        <w:keepLines w:val="0"/>
        <w:pageBreakBefore w:val="0"/>
        <w:widowControl w:val="0"/>
        <w:numPr>
          <w:ilvl w:val="0"/>
          <w:numId w:val="4"/>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本合同自签订之日起生效。</w:t>
      </w:r>
    </w:p>
    <w:p w14:paraId="196A818B">
      <w:pPr>
        <w:keepNext w:val="0"/>
        <w:keepLines w:val="0"/>
        <w:pageBreakBefore w:val="0"/>
        <w:widowControl w:val="0"/>
        <w:numPr>
          <w:ilvl w:val="0"/>
          <w:numId w:val="4"/>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若需出让、使用储备土地或委托管护单位通知终止《委托管护协议》时，甲方可随时终止本合同；如部分终止或出让本合同储备土地的，双方可就剩余土地重新签订合同。</w:t>
      </w:r>
    </w:p>
    <w:p w14:paraId="1FB87D08">
      <w:pPr>
        <w:keepNext w:val="0"/>
        <w:keepLines w:val="0"/>
        <w:pageBreakBefore w:val="0"/>
        <w:widowControl w:val="0"/>
        <w:numPr>
          <w:ilvl w:val="0"/>
          <w:numId w:val="4"/>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因上级政策变化等不可抗力致使本合同无法履行的，本合同自行终止，双方互不追究因此产生的任何责任。</w:t>
      </w:r>
    </w:p>
    <w:p w14:paraId="1A910D31">
      <w:pPr>
        <w:keepNext w:val="0"/>
        <w:keepLines w:val="0"/>
        <w:pageBreakBefore w:val="0"/>
        <w:widowControl w:val="0"/>
        <w:numPr>
          <w:ilvl w:val="0"/>
          <w:numId w:val="1"/>
        </w:numPr>
        <w:kinsoku/>
        <w:wordWrap/>
        <w:overflowPunct/>
        <w:topLinePunct w:val="0"/>
        <w:autoSpaceDE/>
        <w:autoSpaceDN/>
        <w:bidi w:val="0"/>
        <w:snapToGrid/>
        <w:spacing w:line="560" w:lineRule="exact"/>
        <w:ind w:left="0" w:leftChars="0" w:firstLine="560" w:firstLineChars="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双方声明：</w:t>
      </w:r>
    </w:p>
    <w:p w14:paraId="70AB1040">
      <w:pPr>
        <w:keepNext w:val="0"/>
        <w:keepLines w:val="0"/>
        <w:pageBreakBefore w:val="0"/>
        <w:widowControl w:val="0"/>
        <w:numPr>
          <w:ilvl w:val="0"/>
          <w:numId w:val="5"/>
        </w:numPr>
        <w:kinsoku/>
        <w:wordWrap/>
        <w:overflowPunct/>
        <w:topLinePunct w:val="0"/>
        <w:autoSpaceDE/>
        <w:autoSpaceDN/>
        <w:bidi w:val="0"/>
        <w:snapToGrid/>
        <w:spacing w:line="560" w:lineRule="exact"/>
        <w:ind w:firstLine="562" w:firstLineChars="200"/>
        <w:textAlignment w:val="auto"/>
        <w:rPr>
          <w:rFonts w:hint="eastAsia" w:ascii="仿宋_GB2312" w:hAnsi="仿宋_GB2312" w:eastAsia="仿宋_GB2312" w:cs="仿宋_GB2312"/>
          <w:b/>
          <w:bCs/>
          <w:color w:val="0000FF"/>
          <w:sz w:val="28"/>
          <w:szCs w:val="28"/>
          <w:lang w:eastAsia="zh-CN"/>
        </w:rPr>
      </w:pPr>
      <w:r>
        <w:rPr>
          <w:rFonts w:hint="eastAsia" w:ascii="仿宋_GB2312" w:hAnsi="仿宋_GB2312" w:eastAsia="仿宋_GB2312" w:cs="仿宋_GB2312"/>
          <w:b/>
          <w:bCs/>
          <w:sz w:val="28"/>
          <w:szCs w:val="28"/>
          <w:lang w:eastAsia="zh-CN"/>
        </w:rPr>
        <w:t>乙方在签订本合同前已经知悉并认可甲方</w:t>
      </w:r>
      <w:r>
        <w:rPr>
          <w:rFonts w:hint="eastAsia" w:ascii="仿宋_GB2312" w:hAnsi="仿宋_GB2312" w:eastAsia="仿宋_GB2312" w:cs="仿宋_GB2312"/>
          <w:b/>
          <w:bCs/>
          <w:color w:val="0000FF"/>
          <w:sz w:val="28"/>
          <w:szCs w:val="28"/>
          <w:lang w:eastAsia="zh-CN"/>
        </w:rPr>
        <w:t>因《委托管护协议》而享有本合同约定土地的出租权，知悉本合同约定土地的性质及可能随时被收回等风险。</w:t>
      </w:r>
    </w:p>
    <w:p w14:paraId="515712FB">
      <w:pPr>
        <w:keepNext w:val="0"/>
        <w:keepLines w:val="0"/>
        <w:pageBreakBefore w:val="0"/>
        <w:widowControl w:val="0"/>
        <w:numPr>
          <w:ilvl w:val="0"/>
          <w:numId w:val="5"/>
        </w:numPr>
        <w:kinsoku/>
        <w:wordWrap/>
        <w:overflowPunct/>
        <w:topLinePunct w:val="0"/>
        <w:autoSpaceDE/>
        <w:autoSpaceDN/>
        <w:bidi w:val="0"/>
        <w:snapToGrid/>
        <w:spacing w:line="560" w:lineRule="exact"/>
        <w:ind w:firstLine="562" w:firstLineChars="200"/>
        <w:textAlignment w:val="auto"/>
        <w:rPr>
          <w:rFonts w:ascii="仿宋_GB2312" w:eastAsia="仿宋_GB2312"/>
          <w:sz w:val="28"/>
          <w:szCs w:val="28"/>
        </w:rPr>
      </w:pPr>
      <w:r>
        <w:rPr>
          <w:rFonts w:hint="eastAsia" w:ascii="仿宋_GB2312" w:hAnsi="仿宋_GB2312" w:eastAsia="仿宋_GB2312" w:cs="仿宋_GB2312"/>
          <w:b/>
          <w:bCs/>
          <w:sz w:val="28"/>
          <w:szCs w:val="28"/>
          <w:lang w:eastAsia="zh-CN"/>
        </w:rPr>
        <w:t>如因本合同期限与委托管护单位通知终止《委托管护协议》日期不一致的，双方确认本合同第四条约定的租赁期限按委托单位通知终止日期执行。</w:t>
      </w:r>
    </w:p>
    <w:p w14:paraId="4A1BDA49">
      <w:pPr>
        <w:keepNext w:val="0"/>
        <w:keepLines w:val="0"/>
        <w:pageBreakBefore w:val="0"/>
        <w:widowControl w:val="0"/>
        <w:numPr>
          <w:ilvl w:val="0"/>
          <w:numId w:val="1"/>
        </w:numPr>
        <w:kinsoku/>
        <w:wordWrap/>
        <w:overflowPunct/>
        <w:topLinePunct w:val="0"/>
        <w:autoSpaceDE/>
        <w:autoSpaceDN/>
        <w:bidi w:val="0"/>
        <w:snapToGrid/>
        <w:spacing w:line="560" w:lineRule="exact"/>
        <w:ind w:left="0" w:leftChars="0" w:firstLine="56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特别约定</w:t>
      </w:r>
    </w:p>
    <w:p w14:paraId="4457C995">
      <w:pPr>
        <w:keepNext w:val="0"/>
        <w:keepLines w:val="0"/>
        <w:pageBreakBefore w:val="0"/>
        <w:widowControl w:val="0"/>
        <w:numPr>
          <w:ilvl w:val="0"/>
          <w:numId w:val="6"/>
        </w:numPr>
        <w:kinsoku/>
        <w:wordWrap/>
        <w:overflowPunct/>
        <w:topLinePunct w:val="0"/>
        <w:autoSpaceDE/>
        <w:autoSpaceDN/>
        <w:bidi w:val="0"/>
        <w:snapToGrid/>
        <w:spacing w:line="56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本合同终止时，地上附着物归甲方所有，乙方须按临时报建方案整体移交。</w:t>
      </w:r>
    </w:p>
    <w:p w14:paraId="28A8F774">
      <w:pPr>
        <w:keepNext w:val="0"/>
        <w:keepLines w:val="0"/>
        <w:pageBreakBefore w:val="0"/>
        <w:widowControl w:val="0"/>
        <w:numPr>
          <w:ilvl w:val="0"/>
          <w:numId w:val="6"/>
        </w:numPr>
        <w:kinsoku/>
        <w:wordWrap/>
        <w:overflowPunct/>
        <w:topLinePunct w:val="0"/>
        <w:autoSpaceDE/>
        <w:autoSpaceDN/>
        <w:bidi w:val="0"/>
        <w:snapToGrid/>
        <w:spacing w:line="560" w:lineRule="exact"/>
        <w:ind w:firstLine="562"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如乙方继续中标，乙方享有使用权。</w:t>
      </w:r>
    </w:p>
    <w:p w14:paraId="042BB220">
      <w:pPr>
        <w:keepNext w:val="0"/>
        <w:keepLines w:val="0"/>
        <w:pageBreakBefore w:val="0"/>
        <w:widowControl w:val="0"/>
        <w:numPr>
          <w:ilvl w:val="0"/>
          <w:numId w:val="0"/>
        </w:numPr>
        <w:kinsoku/>
        <w:wordWrap/>
        <w:overflowPunct/>
        <w:topLinePunct w:val="0"/>
        <w:autoSpaceDE/>
        <w:autoSpaceDN/>
        <w:bidi w:val="0"/>
        <w:snapToGrid/>
        <w:spacing w:line="560" w:lineRule="exact"/>
        <w:ind w:firstLine="562" w:firstLineChars="200"/>
        <w:textAlignment w:val="auto"/>
        <w:rPr>
          <w:rFonts w:ascii="仿宋_GB2312" w:eastAsia="仿宋_GB2312"/>
          <w:b/>
          <w:bCs/>
          <w:sz w:val="28"/>
          <w:szCs w:val="28"/>
        </w:rPr>
      </w:pPr>
      <w:r>
        <w:rPr>
          <w:rFonts w:hint="eastAsia" w:ascii="仿宋_GB2312" w:hAnsi="仿宋_GB2312" w:eastAsia="仿宋_GB2312" w:cs="仿宋_GB2312"/>
          <w:b/>
          <w:bCs/>
          <w:sz w:val="28"/>
          <w:szCs w:val="28"/>
        </w:rPr>
        <w:t>本合同一式</w:t>
      </w:r>
      <w:r>
        <w:rPr>
          <w:rFonts w:hint="eastAsia" w:ascii="仿宋_GB2312" w:hAnsi="仿宋_GB2312" w:eastAsia="仿宋_GB2312" w:cs="仿宋_GB2312"/>
          <w:b/>
          <w:bCs/>
          <w:sz w:val="28"/>
          <w:szCs w:val="28"/>
          <w:lang w:eastAsia="zh-CN"/>
        </w:rPr>
        <w:t>伍</w:t>
      </w:r>
      <w:r>
        <w:rPr>
          <w:rFonts w:hint="eastAsia" w:ascii="仿宋_GB2312" w:hAnsi="仿宋_GB2312" w:eastAsia="仿宋_GB2312" w:cs="仿宋_GB2312"/>
          <w:b/>
          <w:bCs/>
          <w:sz w:val="28"/>
          <w:szCs w:val="28"/>
        </w:rPr>
        <w:t>份，</w:t>
      </w:r>
      <w:r>
        <w:rPr>
          <w:rFonts w:hint="eastAsia" w:ascii="仿宋_GB2312" w:eastAsia="仿宋_GB2312"/>
          <w:b/>
          <w:bCs/>
          <w:sz w:val="28"/>
          <w:szCs w:val="28"/>
        </w:rPr>
        <w:t>甲方执</w:t>
      </w:r>
      <w:r>
        <w:rPr>
          <w:rFonts w:hint="eastAsia" w:ascii="仿宋_GB2312" w:eastAsia="仿宋_GB2312"/>
          <w:b/>
          <w:bCs/>
          <w:sz w:val="28"/>
          <w:szCs w:val="28"/>
          <w:lang w:eastAsia="zh-CN"/>
        </w:rPr>
        <w:t>肆</w:t>
      </w:r>
      <w:bookmarkStart w:id="0" w:name="_GoBack"/>
      <w:bookmarkEnd w:id="0"/>
      <w:r>
        <w:rPr>
          <w:rFonts w:hint="eastAsia" w:ascii="仿宋_GB2312" w:eastAsia="仿宋_GB2312"/>
          <w:b/>
          <w:bCs/>
          <w:sz w:val="28"/>
          <w:szCs w:val="28"/>
        </w:rPr>
        <w:t>份，乙方执</w:t>
      </w:r>
      <w:r>
        <w:rPr>
          <w:rFonts w:hint="eastAsia" w:ascii="仿宋_GB2312" w:eastAsia="仿宋_GB2312"/>
          <w:b/>
          <w:bCs/>
          <w:sz w:val="28"/>
          <w:szCs w:val="28"/>
          <w:lang w:val="en-US" w:eastAsia="zh-CN"/>
        </w:rPr>
        <w:t>壹</w:t>
      </w:r>
      <w:r>
        <w:rPr>
          <w:rFonts w:hint="eastAsia" w:ascii="仿宋_GB2312" w:eastAsia="仿宋_GB2312"/>
          <w:b/>
          <w:bCs/>
          <w:sz w:val="28"/>
          <w:szCs w:val="28"/>
        </w:rPr>
        <w:t>份，均具备同等法律效力</w:t>
      </w:r>
      <w:r>
        <w:rPr>
          <w:rFonts w:hint="eastAsia" w:ascii="仿宋_GB2312" w:eastAsia="仿宋_GB2312"/>
          <w:b/>
          <w:bCs/>
          <w:sz w:val="28"/>
          <w:szCs w:val="28"/>
          <w:lang w:eastAsia="zh-CN"/>
        </w:rPr>
        <w:t>。</w:t>
      </w:r>
    </w:p>
    <w:p w14:paraId="66364957">
      <w:pPr>
        <w:keepNext w:val="0"/>
        <w:keepLines w:val="0"/>
        <w:pageBreakBefore w:val="0"/>
        <w:widowControl w:val="0"/>
        <w:kinsoku/>
        <w:wordWrap/>
        <w:overflowPunct/>
        <w:topLinePunct w:val="0"/>
        <w:autoSpaceDE/>
        <w:autoSpaceDN/>
        <w:bidi w:val="0"/>
        <w:snapToGrid/>
        <w:spacing w:line="560" w:lineRule="exact"/>
        <w:textAlignment w:val="auto"/>
        <w:rPr>
          <w:rFonts w:ascii="仿宋_GB2312" w:eastAsia="仿宋_GB2312"/>
          <w:sz w:val="28"/>
          <w:szCs w:val="28"/>
        </w:rPr>
      </w:pPr>
    </w:p>
    <w:p w14:paraId="7CAA0EA2">
      <w:pPr>
        <w:keepNext w:val="0"/>
        <w:keepLines w:val="0"/>
        <w:pageBreakBefore w:val="0"/>
        <w:widowControl w:val="0"/>
        <w:kinsoku/>
        <w:wordWrap/>
        <w:overflowPunct/>
        <w:topLinePunct w:val="0"/>
        <w:autoSpaceDE/>
        <w:autoSpaceDN/>
        <w:bidi w:val="0"/>
        <w:adjustRightInd w:val="0"/>
        <w:snapToGrid/>
        <w:spacing w:line="560" w:lineRule="exact"/>
        <w:contextualSpacing/>
        <w:textAlignment w:val="auto"/>
        <w:rPr>
          <w:rFonts w:hint="eastAsia" w:ascii="仿宋_GB2312" w:eastAsia="仿宋_GB2312" w:hAnsiTheme="majorEastAsia" w:cstheme="majorEastAsia"/>
          <w:color w:val="000000" w:themeColor="text1"/>
          <w:sz w:val="28"/>
          <w:szCs w:val="28"/>
          <w:shd w:val="clear" w:color="auto" w:fill="FFFFFF"/>
          <w14:textFill>
            <w14:solidFill>
              <w14:schemeClr w14:val="tx1"/>
            </w14:solidFill>
          </w14:textFill>
        </w:rPr>
      </w:pPr>
    </w:p>
    <w:p w14:paraId="01E71ECC">
      <w:pPr>
        <w:keepNext w:val="0"/>
        <w:keepLines w:val="0"/>
        <w:pageBreakBefore w:val="0"/>
        <w:widowControl w:val="0"/>
        <w:kinsoku/>
        <w:wordWrap/>
        <w:overflowPunct/>
        <w:topLinePunct w:val="0"/>
        <w:autoSpaceDE/>
        <w:autoSpaceDN/>
        <w:bidi w:val="0"/>
        <w:adjustRightInd w:val="0"/>
        <w:snapToGrid/>
        <w:spacing w:line="560" w:lineRule="exact"/>
        <w:contextualSpacing/>
        <w:textAlignment w:val="auto"/>
        <w:rPr>
          <w:rFonts w:ascii="仿宋_GB2312" w:eastAsia="仿宋_GB2312" w:hAnsiTheme="majorEastAsia" w:cstheme="majorEastAsia"/>
          <w:b/>
          <w:bCs/>
          <w:color w:val="000000" w:themeColor="text1"/>
          <w:sz w:val="28"/>
          <w:szCs w:val="28"/>
          <w:shd w:val="clear" w:color="auto" w:fill="FFFFFF"/>
          <w14:textFill>
            <w14:solidFill>
              <w14:schemeClr w14:val="tx1"/>
            </w14:solidFill>
          </w14:textFill>
        </w:rPr>
      </w:pP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 xml:space="preserve">甲方（公章）： </w:t>
      </w:r>
      <w:r>
        <w:rPr>
          <w:rFonts w:hint="eastAsia" w:ascii="仿宋_GB2312" w:eastAsia="仿宋_GB2312" w:hAnsiTheme="majorEastAsia" w:cstheme="majorEastAsia"/>
          <w:color w:val="000000" w:themeColor="text1"/>
          <w:sz w:val="28"/>
          <w:szCs w:val="28"/>
          <w:shd w:val="clear" w:color="auto" w:fill="FFFFFF"/>
          <w14:textFill>
            <w14:solidFill>
              <w14:schemeClr w14:val="tx1"/>
            </w14:solidFill>
          </w14:textFill>
        </w:rPr>
        <w:t xml:space="preserve">                </w:t>
      </w:r>
      <w:r>
        <w:rPr>
          <w:rFonts w:hint="eastAsia" w:ascii="仿宋_GB2312" w:eastAsia="仿宋_GB2312" w:hAnsiTheme="majorEastAsia" w:cstheme="majorEastAsia"/>
          <w:color w:val="000000" w:themeColor="text1"/>
          <w:sz w:val="28"/>
          <w:szCs w:val="28"/>
          <w:shd w:val="clear" w:color="auto" w:fill="FFFFFF"/>
          <w:lang w:val="en-US" w:eastAsia="zh-CN"/>
          <w14:textFill>
            <w14:solidFill>
              <w14:schemeClr w14:val="tx1"/>
            </w14:solidFill>
          </w14:textFill>
        </w:rPr>
        <w:t xml:space="preserve">   </w:t>
      </w:r>
      <w:r>
        <w:rPr>
          <w:rFonts w:hint="eastAsia" w:ascii="仿宋_GB2312" w:eastAsia="仿宋_GB2312" w:hAnsiTheme="majorEastAsia" w:cstheme="majorEastAsia"/>
          <w:color w:val="000000" w:themeColor="text1"/>
          <w:sz w:val="28"/>
          <w:szCs w:val="28"/>
          <w:shd w:val="clear" w:color="auto" w:fill="FFFFFF"/>
          <w14:textFill>
            <w14:solidFill>
              <w14:schemeClr w14:val="tx1"/>
            </w14:solidFill>
          </w14:textFill>
        </w:rPr>
        <w:t xml:space="preserve"> </w:t>
      </w:r>
      <w:r>
        <w:rPr>
          <w:rFonts w:hint="eastAsia" w:ascii="仿宋_GB2312" w:eastAsia="仿宋_GB2312" w:hAnsiTheme="majorEastAsia" w:cstheme="majorEastAsia"/>
          <w:color w:val="000000" w:themeColor="text1"/>
          <w:sz w:val="28"/>
          <w:szCs w:val="28"/>
          <w:shd w:val="clear" w:color="auto" w:fill="FFFFFF"/>
          <w:lang w:val="en-US" w:eastAsia="zh-CN"/>
          <w14:textFill>
            <w14:solidFill>
              <w14:schemeClr w14:val="tx1"/>
            </w14:solidFill>
          </w14:textFill>
        </w:rPr>
        <w:t xml:space="preserve"> </w:t>
      </w:r>
      <w:r>
        <w:rPr>
          <w:rFonts w:hint="eastAsia" w:ascii="仿宋_GB2312" w:eastAsia="仿宋_GB2312" w:hAnsiTheme="majorEastAsia" w:cstheme="majorEastAsia"/>
          <w:color w:val="000000" w:themeColor="text1"/>
          <w:sz w:val="28"/>
          <w:szCs w:val="28"/>
          <w:shd w:val="clear" w:color="auto" w:fill="FFFFFF"/>
          <w14:textFill>
            <w14:solidFill>
              <w14:schemeClr w14:val="tx1"/>
            </w14:solidFill>
          </w14:textFill>
        </w:rPr>
        <w:t xml:space="preserve"> </w:t>
      </w: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乙方（公章）：</w:t>
      </w:r>
    </w:p>
    <w:p w14:paraId="6BBD6686">
      <w:pPr>
        <w:keepNext w:val="0"/>
        <w:keepLines w:val="0"/>
        <w:pageBreakBefore w:val="0"/>
        <w:widowControl w:val="0"/>
        <w:kinsoku/>
        <w:wordWrap/>
        <w:overflowPunct/>
        <w:topLinePunct w:val="0"/>
        <w:autoSpaceDE/>
        <w:autoSpaceDN/>
        <w:bidi w:val="0"/>
        <w:adjustRightInd w:val="0"/>
        <w:snapToGrid/>
        <w:spacing w:line="560" w:lineRule="exact"/>
        <w:contextualSpacing/>
        <w:textAlignment w:val="auto"/>
        <w:rPr>
          <w:rFonts w:ascii="仿宋_GB2312" w:eastAsia="仿宋_GB2312" w:hAnsiTheme="majorEastAsia" w:cstheme="majorEastAsia"/>
          <w:b/>
          <w:bCs/>
          <w:color w:val="000000" w:themeColor="text1"/>
          <w:sz w:val="28"/>
          <w:szCs w:val="28"/>
          <w:shd w:val="clear" w:color="auto" w:fill="FFFFFF"/>
          <w14:textFill>
            <w14:solidFill>
              <w14:schemeClr w14:val="tx1"/>
            </w14:solidFill>
          </w14:textFill>
        </w:rPr>
      </w:pP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 xml:space="preserve">代表（签字）：                 </w:t>
      </w:r>
      <w:r>
        <w:rPr>
          <w:rFonts w:hint="eastAsia" w:ascii="仿宋_GB2312" w:eastAsia="仿宋_GB2312" w:hAnsiTheme="majorEastAsia" w:cstheme="majorEastAsia"/>
          <w:b/>
          <w:bCs/>
          <w:color w:val="000000" w:themeColor="text1"/>
          <w:sz w:val="28"/>
          <w:szCs w:val="28"/>
          <w:shd w:val="clear" w:color="auto" w:fill="FFFFFF"/>
          <w:lang w:val="en-US" w:eastAsia="zh-CN"/>
          <w14:textFill>
            <w14:solidFill>
              <w14:schemeClr w14:val="tx1"/>
            </w14:solidFill>
          </w14:textFill>
        </w:rPr>
        <w:t xml:space="preserve">   </w:t>
      </w: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 xml:space="preserve">  </w:t>
      </w:r>
      <w:r>
        <w:rPr>
          <w:rFonts w:hint="eastAsia" w:ascii="仿宋_GB2312" w:eastAsia="仿宋_GB2312" w:hAnsiTheme="majorEastAsia" w:cstheme="majorEastAsia"/>
          <w:b/>
          <w:bCs/>
          <w:color w:val="000000" w:themeColor="text1"/>
          <w:sz w:val="28"/>
          <w:szCs w:val="28"/>
          <w:shd w:val="clear" w:color="auto" w:fill="FFFFFF"/>
          <w:lang w:val="en-US" w:eastAsia="zh-CN"/>
          <w14:textFill>
            <w14:solidFill>
              <w14:schemeClr w14:val="tx1"/>
            </w14:solidFill>
          </w14:textFill>
        </w:rPr>
        <w:t xml:space="preserve"> </w:t>
      </w: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代表（签字）：</w:t>
      </w:r>
    </w:p>
    <w:p w14:paraId="3270C097">
      <w:pPr>
        <w:keepNext w:val="0"/>
        <w:keepLines w:val="0"/>
        <w:pageBreakBefore w:val="0"/>
        <w:widowControl w:val="0"/>
        <w:kinsoku/>
        <w:wordWrap/>
        <w:overflowPunct/>
        <w:topLinePunct w:val="0"/>
        <w:autoSpaceDE/>
        <w:autoSpaceDN/>
        <w:bidi w:val="0"/>
        <w:adjustRightInd w:val="0"/>
        <w:snapToGrid/>
        <w:spacing w:line="560" w:lineRule="exact"/>
        <w:contextualSpacing/>
        <w:textAlignment w:val="auto"/>
        <w:rPr>
          <w:rFonts w:ascii="仿宋_GB2312" w:hAnsi="仿宋_GB2312" w:eastAsia="仿宋_GB2312" w:cs="仿宋_GB2312"/>
          <w:b/>
          <w:bCs/>
          <w:sz w:val="32"/>
          <w:szCs w:val="32"/>
          <w:u w:val="single"/>
        </w:rPr>
      </w:pP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 xml:space="preserve">日期：                          </w:t>
      </w:r>
      <w:r>
        <w:rPr>
          <w:rFonts w:hint="eastAsia" w:ascii="仿宋_GB2312" w:eastAsia="仿宋_GB2312" w:hAnsiTheme="majorEastAsia" w:cstheme="majorEastAsia"/>
          <w:b/>
          <w:bCs/>
          <w:color w:val="000000" w:themeColor="text1"/>
          <w:sz w:val="28"/>
          <w:szCs w:val="28"/>
          <w:shd w:val="clear" w:color="auto" w:fill="FFFFFF"/>
          <w:lang w:val="en-US" w:eastAsia="zh-CN"/>
          <w14:textFill>
            <w14:solidFill>
              <w14:schemeClr w14:val="tx1"/>
            </w14:solidFill>
          </w14:textFill>
        </w:rPr>
        <w:t xml:space="preserve">    </w:t>
      </w: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日期</w:t>
      </w:r>
      <w:r>
        <w:rPr>
          <w:rFonts w:hint="eastAsia" w:ascii="仿宋_GB2312" w:eastAsia="仿宋_GB2312" w:hAnsiTheme="majorEastAsia" w:cstheme="majorEastAsia"/>
          <w:b/>
          <w:bCs/>
          <w:color w:val="000000" w:themeColor="text1"/>
          <w:sz w:val="32"/>
          <w:szCs w:val="32"/>
          <w:shd w:val="clear" w:color="auto" w:fill="FFFFFF"/>
          <w14:textFill>
            <w14:solidFill>
              <w14:schemeClr w14:val="tx1"/>
            </w14:solidFill>
          </w14:textFill>
        </w:rPr>
        <w:t>：</w:t>
      </w:r>
    </w:p>
    <w:sectPr>
      <w:footerReference r:id="rId3" w:type="default"/>
      <w:pgSz w:w="11906" w:h="16838"/>
      <w:pgMar w:top="1417" w:right="1587" w:bottom="1417" w:left="1587"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08E34">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FFC166">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AFFC166">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45958"/>
    <w:multiLevelType w:val="singleLevel"/>
    <w:tmpl w:val="B8D45958"/>
    <w:lvl w:ilvl="0" w:tentative="0">
      <w:start w:val="1"/>
      <w:numFmt w:val="chineseCounting"/>
      <w:suff w:val="nothing"/>
      <w:lvlText w:val="（%1）"/>
      <w:lvlJc w:val="left"/>
      <w:rPr>
        <w:rFonts w:hint="eastAsia"/>
      </w:rPr>
    </w:lvl>
  </w:abstractNum>
  <w:abstractNum w:abstractNumId="1">
    <w:nsid w:val="C49A082D"/>
    <w:multiLevelType w:val="singleLevel"/>
    <w:tmpl w:val="C49A082D"/>
    <w:lvl w:ilvl="0" w:tentative="0">
      <w:start w:val="1"/>
      <w:numFmt w:val="chineseCounting"/>
      <w:suff w:val="nothing"/>
      <w:lvlText w:val="%1、"/>
      <w:lvlJc w:val="left"/>
      <w:rPr>
        <w:rFonts w:hint="eastAsia"/>
        <w:b/>
        <w:bCs/>
      </w:rPr>
    </w:lvl>
  </w:abstractNum>
  <w:abstractNum w:abstractNumId="2">
    <w:nsid w:val="EA04F821"/>
    <w:multiLevelType w:val="singleLevel"/>
    <w:tmpl w:val="EA04F821"/>
    <w:lvl w:ilvl="0" w:tentative="0">
      <w:start w:val="1"/>
      <w:numFmt w:val="decimal"/>
      <w:suff w:val="nothing"/>
      <w:lvlText w:val="%1、"/>
      <w:lvlJc w:val="left"/>
    </w:lvl>
  </w:abstractNum>
  <w:abstractNum w:abstractNumId="3">
    <w:nsid w:val="57CCF12F"/>
    <w:multiLevelType w:val="singleLevel"/>
    <w:tmpl w:val="57CCF12F"/>
    <w:lvl w:ilvl="0" w:tentative="0">
      <w:start w:val="1"/>
      <w:numFmt w:val="decimal"/>
      <w:suff w:val="nothing"/>
      <w:lvlText w:val="%1、"/>
      <w:lvlJc w:val="left"/>
    </w:lvl>
  </w:abstractNum>
  <w:abstractNum w:abstractNumId="4">
    <w:nsid w:val="64FF8DFF"/>
    <w:multiLevelType w:val="singleLevel"/>
    <w:tmpl w:val="64FF8DFF"/>
    <w:lvl w:ilvl="0" w:tentative="0">
      <w:start w:val="1"/>
      <w:numFmt w:val="decimal"/>
      <w:suff w:val="nothing"/>
      <w:lvlText w:val="%1、"/>
      <w:lvlJc w:val="left"/>
    </w:lvl>
  </w:abstractNum>
  <w:abstractNum w:abstractNumId="5">
    <w:nsid w:val="79BA0CE2"/>
    <w:multiLevelType w:val="singleLevel"/>
    <w:tmpl w:val="79BA0CE2"/>
    <w:lvl w:ilvl="0" w:tentative="0">
      <w:start w:val="1"/>
      <w:numFmt w:val="decimal"/>
      <w:suff w:val="nothing"/>
      <w:lvlText w:val="%1、"/>
      <w:lvlJc w:val="left"/>
      <w:rPr>
        <w:rFonts w:hint="default"/>
        <w:color w:val="auto"/>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MzAzODdkY2M5Mjg2YjFkNTQzNmJjNDc5MGUwNjIifQ=="/>
  </w:docVars>
  <w:rsids>
    <w:rsidRoot w:val="506F3240"/>
    <w:rsid w:val="00046D79"/>
    <w:rsid w:val="000731BE"/>
    <w:rsid w:val="00125D5A"/>
    <w:rsid w:val="001A60FB"/>
    <w:rsid w:val="001D37CA"/>
    <w:rsid w:val="001E0805"/>
    <w:rsid w:val="001F6399"/>
    <w:rsid w:val="00225F46"/>
    <w:rsid w:val="00262E1B"/>
    <w:rsid w:val="002B1357"/>
    <w:rsid w:val="00380FD3"/>
    <w:rsid w:val="003D0EE6"/>
    <w:rsid w:val="003E48B8"/>
    <w:rsid w:val="003F6934"/>
    <w:rsid w:val="003F7CE3"/>
    <w:rsid w:val="00441E6D"/>
    <w:rsid w:val="00474CB8"/>
    <w:rsid w:val="00505DA9"/>
    <w:rsid w:val="00575FA4"/>
    <w:rsid w:val="00582E78"/>
    <w:rsid w:val="005B3142"/>
    <w:rsid w:val="005C7671"/>
    <w:rsid w:val="00633BDB"/>
    <w:rsid w:val="006B633E"/>
    <w:rsid w:val="006D3CB4"/>
    <w:rsid w:val="006E1820"/>
    <w:rsid w:val="00797B5D"/>
    <w:rsid w:val="007D0DF6"/>
    <w:rsid w:val="007E643D"/>
    <w:rsid w:val="008328E8"/>
    <w:rsid w:val="00871D1C"/>
    <w:rsid w:val="00924A6D"/>
    <w:rsid w:val="00A80E74"/>
    <w:rsid w:val="00B2493E"/>
    <w:rsid w:val="00B9183E"/>
    <w:rsid w:val="00BC1805"/>
    <w:rsid w:val="00CB7371"/>
    <w:rsid w:val="00CE62A9"/>
    <w:rsid w:val="00CE7AAC"/>
    <w:rsid w:val="00D00EE2"/>
    <w:rsid w:val="00D27392"/>
    <w:rsid w:val="00D37A70"/>
    <w:rsid w:val="00E8127F"/>
    <w:rsid w:val="00FF51BB"/>
    <w:rsid w:val="03B24D7F"/>
    <w:rsid w:val="03C849A0"/>
    <w:rsid w:val="06504BB8"/>
    <w:rsid w:val="07A265CB"/>
    <w:rsid w:val="08220C70"/>
    <w:rsid w:val="08D54395"/>
    <w:rsid w:val="09306FFB"/>
    <w:rsid w:val="096659FE"/>
    <w:rsid w:val="0CB61791"/>
    <w:rsid w:val="0CE63D68"/>
    <w:rsid w:val="0EB228E5"/>
    <w:rsid w:val="11587D8C"/>
    <w:rsid w:val="11B710FB"/>
    <w:rsid w:val="123233F6"/>
    <w:rsid w:val="13AD5839"/>
    <w:rsid w:val="146574EE"/>
    <w:rsid w:val="14A735CC"/>
    <w:rsid w:val="15490ADE"/>
    <w:rsid w:val="1571583F"/>
    <w:rsid w:val="171A5B6A"/>
    <w:rsid w:val="174F4ADA"/>
    <w:rsid w:val="1A1F53F5"/>
    <w:rsid w:val="1B920D6A"/>
    <w:rsid w:val="1BA94B3F"/>
    <w:rsid w:val="1CAB31D3"/>
    <w:rsid w:val="1D533DD2"/>
    <w:rsid w:val="1EF54685"/>
    <w:rsid w:val="1F9B29C6"/>
    <w:rsid w:val="20255BCB"/>
    <w:rsid w:val="219D08AB"/>
    <w:rsid w:val="21CB5418"/>
    <w:rsid w:val="21DB0D9E"/>
    <w:rsid w:val="221729C7"/>
    <w:rsid w:val="224043BD"/>
    <w:rsid w:val="227B7FFA"/>
    <w:rsid w:val="23125988"/>
    <w:rsid w:val="25256545"/>
    <w:rsid w:val="25A44A48"/>
    <w:rsid w:val="27B2345B"/>
    <w:rsid w:val="29290CEE"/>
    <w:rsid w:val="29F264EC"/>
    <w:rsid w:val="2B8A4FEB"/>
    <w:rsid w:val="2D2F7114"/>
    <w:rsid w:val="2DAD2427"/>
    <w:rsid w:val="2F086BFC"/>
    <w:rsid w:val="30055F99"/>
    <w:rsid w:val="32CD42BE"/>
    <w:rsid w:val="339C738C"/>
    <w:rsid w:val="33C36018"/>
    <w:rsid w:val="34917036"/>
    <w:rsid w:val="3533504E"/>
    <w:rsid w:val="36096298"/>
    <w:rsid w:val="376D62BC"/>
    <w:rsid w:val="382D75E1"/>
    <w:rsid w:val="399F24B5"/>
    <w:rsid w:val="3AB80F94"/>
    <w:rsid w:val="3CC21F2F"/>
    <w:rsid w:val="3D4316D6"/>
    <w:rsid w:val="3FF32BBD"/>
    <w:rsid w:val="40291830"/>
    <w:rsid w:val="403B5E8D"/>
    <w:rsid w:val="411A1364"/>
    <w:rsid w:val="41862BCC"/>
    <w:rsid w:val="41BB22EA"/>
    <w:rsid w:val="44CA5EC2"/>
    <w:rsid w:val="45A003AC"/>
    <w:rsid w:val="45B01258"/>
    <w:rsid w:val="46A06C0B"/>
    <w:rsid w:val="4714099E"/>
    <w:rsid w:val="478B2DD0"/>
    <w:rsid w:val="482221F4"/>
    <w:rsid w:val="498908EE"/>
    <w:rsid w:val="4B490FD8"/>
    <w:rsid w:val="4B6E6C91"/>
    <w:rsid w:val="4D623CD6"/>
    <w:rsid w:val="4D786674"/>
    <w:rsid w:val="4D9F1B22"/>
    <w:rsid w:val="4E293945"/>
    <w:rsid w:val="504F1AE9"/>
    <w:rsid w:val="506F3240"/>
    <w:rsid w:val="519410C1"/>
    <w:rsid w:val="53650979"/>
    <w:rsid w:val="53804367"/>
    <w:rsid w:val="551E4950"/>
    <w:rsid w:val="5604120B"/>
    <w:rsid w:val="567F5E6D"/>
    <w:rsid w:val="571C3A0F"/>
    <w:rsid w:val="595E5D92"/>
    <w:rsid w:val="5CD4009C"/>
    <w:rsid w:val="5D066D29"/>
    <w:rsid w:val="5E372675"/>
    <w:rsid w:val="5E8519EE"/>
    <w:rsid w:val="5EAD325E"/>
    <w:rsid w:val="5F4246F5"/>
    <w:rsid w:val="5FB842F6"/>
    <w:rsid w:val="62723D95"/>
    <w:rsid w:val="62E90A92"/>
    <w:rsid w:val="64BD0615"/>
    <w:rsid w:val="65546313"/>
    <w:rsid w:val="656E17EF"/>
    <w:rsid w:val="656F508D"/>
    <w:rsid w:val="69573CA9"/>
    <w:rsid w:val="695D4EB0"/>
    <w:rsid w:val="6A4E3030"/>
    <w:rsid w:val="6A526578"/>
    <w:rsid w:val="6ABE0C43"/>
    <w:rsid w:val="6B714E80"/>
    <w:rsid w:val="6BA46C28"/>
    <w:rsid w:val="6C573C2B"/>
    <w:rsid w:val="6D7C4EB1"/>
    <w:rsid w:val="6EC03B99"/>
    <w:rsid w:val="6F914D7F"/>
    <w:rsid w:val="6F9B05CF"/>
    <w:rsid w:val="7027543A"/>
    <w:rsid w:val="72A472ED"/>
    <w:rsid w:val="7354502C"/>
    <w:rsid w:val="73772B1F"/>
    <w:rsid w:val="761A0CA4"/>
    <w:rsid w:val="765406AD"/>
    <w:rsid w:val="768C67B0"/>
    <w:rsid w:val="773F0C02"/>
    <w:rsid w:val="77576C22"/>
    <w:rsid w:val="787E4304"/>
    <w:rsid w:val="78941235"/>
    <w:rsid w:val="79051A74"/>
    <w:rsid w:val="7A0955B8"/>
    <w:rsid w:val="7AC92F98"/>
    <w:rsid w:val="7AE244DA"/>
    <w:rsid w:val="7B1D2657"/>
    <w:rsid w:val="7B9C594F"/>
    <w:rsid w:val="7B9E761E"/>
    <w:rsid w:val="7E606191"/>
    <w:rsid w:val="7F1273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0020;&#26102;&#29992;&#22320;&#31199;&#36161;&#21512;&#21516;&#65288;&#37329;&#23665;&#28246;&#23707;&#20869;&#29275;&#22616;&#20180;&#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2C0EF-4F0A-44C2-B8B0-E1C5466EDB7B}">
  <ds:schemaRefs/>
</ds:datastoreItem>
</file>

<file path=docProps/app.xml><?xml version="1.0" encoding="utf-8"?>
<Properties xmlns="http://schemas.openxmlformats.org/officeDocument/2006/extended-properties" xmlns:vt="http://schemas.openxmlformats.org/officeDocument/2006/docPropsVTypes">
  <Template>临时用地租赁合同（金山湖岛内牛塘仔）</Template>
  <Company>微软中国</Company>
  <Pages>4</Pages>
  <Words>1965</Words>
  <Characters>1997</Characters>
  <Lines>10</Lines>
  <Paragraphs>2</Paragraphs>
  <TotalTime>23</TotalTime>
  <ScaleCrop>false</ScaleCrop>
  <LinksUpToDate>false</LinksUpToDate>
  <CharactersWithSpaces>2232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2021-07-05T09:26:00Z</dcterms:created>
  <dc:creator>lenovo</dc:creator>
  <cp:lastModifiedBy>Administrator</cp:lastModifiedBy>
  <cp:lastPrinted>2024-06-27T03:29:00Z</cp:lastPrinted>
  <dcterms:modified xsi:type="dcterms:W3CDTF">2024-09-06T02:26:53Z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6AB7D277BE494CAA8DF23166FCFD3EC8_13</vt:lpwstr>
  </property>
</Properties>
</file>