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(竞买人)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惠州市公共资源交易中心产权竞价系统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全流程电子化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竞买人-系统登录地址：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instrText xml:space="preserve"> HYPERLINK "https://cqjy.huizhou.gov.cn/Client/ClientLogin/Login" </w:instrText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https://cqjy.huizhou.gov.cn/Client/ClientLogin/Login</w:t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133350</wp:posOffset>
            </wp:positionV>
            <wp:extent cx="6184900" cy="3244850"/>
            <wp:effectExtent l="0" t="0" r="6350" b="12700"/>
            <wp:wrapSquare wrapText="bothSides"/>
            <wp:docPr id="10" name="图片 10" descr="170191838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1918383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登录系统后进入“我的文档”菜单进行资料上传等操作。</w:t>
      </w:r>
    </w:p>
    <w:bookmarkEnd w:id="0"/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成交候选人-在线上传成交资料与合同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1-1 上传成交资料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竞价结束后，选择在线发放成交通知书的，成交候选人在登录竞价系统后，在“我的文档”--“成交通知书”栏目 上传相关成交资料(包括竞买申请与承诺、网络竞价须知、资格审查确认书等)。成交人在完成相关成交资料上传后点击“提交保存”按钮，向交易中心推送办理成交通知书信息。（如下图所示）</w:t>
      </w:r>
    </w:p>
    <w:p>
      <w:pPr>
        <w:jc w:val="both"/>
      </w:pPr>
      <w:r>
        <w:drawing>
          <wp:inline distT="0" distB="0" distL="114300" distR="114300">
            <wp:extent cx="6064250" cy="3698240"/>
            <wp:effectExtent l="0" t="0" r="12700" b="1651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6055360" cy="2006600"/>
            <wp:effectExtent l="0" t="0" r="2540" b="1270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1-2、成交候选人下载成交通知书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成交通知书盖章完成后，成交候选人登录竞价系统，在“我的文档”--“成交通知书”栏目 ，点击“成交通知书”，进行下载。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（如下图所示）</w:t>
      </w:r>
    </w:p>
    <w:p>
      <w:pPr>
        <w:jc w:val="both"/>
      </w:pPr>
      <w:r>
        <w:drawing>
          <wp:inline distT="0" distB="0" distL="114300" distR="114300">
            <wp:extent cx="6039485" cy="3535680"/>
            <wp:effectExtent l="0" t="0" r="1841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1-3、上传成交合同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成交候选人签订合同后，选择在线上传正式成交合同的，成交候选人在登录竞价系统后，在“我的文档”--“成交通知书”栏目 点击“上传成交合同”进行合同上传。上传完成后点击“提交推送”按钮，向交易中心申请退还竞价保证金。（如下图所示）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013450" cy="3705225"/>
            <wp:effectExtent l="0" t="0" r="6350" b="9525"/>
            <wp:docPr id="1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015990" cy="1580515"/>
            <wp:effectExtent l="0" t="0" r="381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1-4、成交候选人下载交易鉴证书（除房产出售、林权转让项目外，其他项目通常无需申办产权交易鉴证书））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成交候选人上传成交合同后，由交易中心完成交易鉴证书盖章，盖章完成后，成交候选人登录竞价系统，在“我的文档”--“成交通知书”栏目 ，点击“交易鉴证书”，进行下载。（如下图所示）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107430" cy="371475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1-5、竞得人退保证金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产权部办事员在“竞得人保证金管理”界面，可查看成交候选人上传成交合同情况，见证合同后可操作退保。（如下图所示）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119495" cy="1769745"/>
            <wp:effectExtent l="0" t="0" r="14605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zJlY2Y3YzA4ZWIyODM3OTJkZTg0YWU4Y2JkMDEifQ=="/>
  </w:docVars>
  <w:rsids>
    <w:rsidRoot w:val="3E4D2E1F"/>
    <w:rsid w:val="021C25DD"/>
    <w:rsid w:val="124B3EAA"/>
    <w:rsid w:val="13380876"/>
    <w:rsid w:val="13BC14BF"/>
    <w:rsid w:val="162254CC"/>
    <w:rsid w:val="16652CBD"/>
    <w:rsid w:val="180B39BD"/>
    <w:rsid w:val="1BE32FFE"/>
    <w:rsid w:val="3E4D2E1F"/>
    <w:rsid w:val="529B480F"/>
    <w:rsid w:val="57E15AB1"/>
    <w:rsid w:val="67E554F0"/>
    <w:rsid w:val="686B2462"/>
    <w:rsid w:val="74A05CC0"/>
    <w:rsid w:val="76CA788A"/>
    <w:rsid w:val="772F2D27"/>
    <w:rsid w:val="78D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2023-12-05T08:09:00Z</dcterms:created>
  <dc:creator>Luoyi</dc:creator>
  <cp:lastModifiedBy>黄金兰</cp:lastModifiedBy>
  <dcterms:modified xsi:type="dcterms:W3CDTF">2023-12-07T06:37:47Z</dcterms:modified>
  <dc:title>惠州市公共资源交易中心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FD1785A755284AC7A03EC53AE910C606</vt:lpwstr>
  </property>
</Properties>
</file>