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B7BD8">
      <w:pPr>
        <w:spacing w:line="360" w:lineRule="auto"/>
        <w:jc w:val="left"/>
        <w:outlineLvl w:val="0"/>
        <w:rPr>
          <w:rFonts w:ascii="宋体" w:hAnsi="宋体" w:eastAsia="宋体" w:cs="宋体"/>
          <w:b/>
          <w:bCs/>
          <w:color w:val="auto"/>
          <w:sz w:val="36"/>
          <w:szCs w:val="36"/>
          <w:highlight w:val="none"/>
        </w:rPr>
      </w:pPr>
      <w:bookmarkStart w:id="150" w:name="_GoBack"/>
      <w:bookmarkEnd w:id="150"/>
      <w:bookmarkStart w:id="0" w:name="_Toc16189"/>
      <w:bookmarkStart w:id="1" w:name="_Toc14965"/>
      <w:bookmarkStart w:id="2" w:name="_Toc16197"/>
      <w:bookmarkStart w:id="3" w:name="_Toc21653"/>
      <w:r>
        <w:rPr>
          <w:rFonts w:hint="eastAsia" w:ascii="宋体" w:hAnsi="宋体" w:eastAsia="宋体" w:cs="宋体"/>
          <w:b/>
          <w:bCs/>
          <w:color w:val="auto"/>
          <w:sz w:val="36"/>
          <w:szCs w:val="36"/>
          <w:highlight w:val="none"/>
        </w:rPr>
        <w:t>合同范本</w:t>
      </w:r>
      <w:bookmarkEnd w:id="0"/>
      <w:bookmarkEnd w:id="1"/>
      <w:bookmarkEnd w:id="2"/>
      <w:bookmarkEnd w:id="3"/>
    </w:p>
    <w:p w14:paraId="06F728A0">
      <w:pPr>
        <w:tabs>
          <w:tab w:val="left" w:pos="736"/>
          <w:tab w:val="left" w:pos="3031"/>
        </w:tabs>
        <w:spacing w:before="141" w:line="360" w:lineRule="auto"/>
        <w:ind w:left="100"/>
        <w:rPr>
          <w:rFonts w:ascii="宋体" w:hAnsi="宋体" w:eastAsia="宋体" w:cs="宋体"/>
          <w:b/>
          <w:color w:val="auto"/>
          <w:sz w:val="28"/>
          <w:szCs w:val="28"/>
          <w:highlight w:val="none"/>
        </w:rPr>
      </w:pPr>
    </w:p>
    <w:p w14:paraId="6302D6C9">
      <w:pPr>
        <w:tabs>
          <w:tab w:val="left" w:pos="736"/>
          <w:tab w:val="left" w:pos="3031"/>
        </w:tabs>
        <w:spacing w:before="141" w:line="360" w:lineRule="auto"/>
        <w:ind w:left="100"/>
        <w:rPr>
          <w:rFonts w:ascii="宋体" w:hAnsi="宋体" w:eastAsia="宋体" w:cs="宋体"/>
          <w:b/>
          <w:color w:val="auto"/>
          <w:sz w:val="28"/>
          <w:szCs w:val="28"/>
          <w:highlight w:val="none"/>
        </w:rPr>
      </w:pPr>
    </w:p>
    <w:p w14:paraId="56A00B9A">
      <w:pPr>
        <w:spacing w:line="360" w:lineRule="auto"/>
        <w:ind w:firstLine="0" w:firstLineChars="0"/>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大亚湾淡澳河水质提升服务项目资产残余价值转让合同</w:t>
      </w:r>
    </w:p>
    <w:p w14:paraId="317C5322">
      <w:pPr>
        <w:spacing w:line="360" w:lineRule="auto"/>
        <w:ind w:firstLine="800" w:firstLineChars="250"/>
        <w:rPr>
          <w:rFonts w:ascii="宋体" w:hAnsi="宋体" w:cs="宋体"/>
          <w:b/>
          <w:bCs/>
          <w:color w:val="auto"/>
          <w:sz w:val="32"/>
          <w:szCs w:val="32"/>
          <w:highlight w:val="none"/>
        </w:rPr>
      </w:pPr>
    </w:p>
    <w:p w14:paraId="754CE349">
      <w:pPr>
        <w:pStyle w:val="18"/>
        <w:spacing w:line="360" w:lineRule="auto"/>
        <w:ind w:firstLine="210"/>
        <w:rPr>
          <w:color w:val="auto"/>
          <w:highlight w:val="none"/>
        </w:rPr>
      </w:pPr>
    </w:p>
    <w:p w14:paraId="1FA3BDAA">
      <w:pPr>
        <w:spacing w:line="360" w:lineRule="auto"/>
        <w:ind w:firstLine="800" w:firstLineChars="250"/>
        <w:rPr>
          <w:rFonts w:ascii="宋体" w:hAnsi="宋体" w:cs="宋体"/>
          <w:b/>
          <w:bCs/>
          <w:color w:val="auto"/>
          <w:sz w:val="32"/>
          <w:szCs w:val="32"/>
          <w:highlight w:val="none"/>
        </w:rPr>
      </w:pPr>
    </w:p>
    <w:p w14:paraId="1C6C238C">
      <w:pPr>
        <w:spacing w:line="360" w:lineRule="auto"/>
        <w:ind w:firstLine="1258" w:firstLineChars="393"/>
        <w:rPr>
          <w:rFonts w:ascii="宋体" w:hAnsi="宋体" w:eastAsia="宋体" w:cs="宋体"/>
          <w:b/>
          <w:bCs/>
          <w:color w:val="auto"/>
          <w:sz w:val="32"/>
          <w:szCs w:val="32"/>
          <w:highlight w:val="none"/>
        </w:rPr>
      </w:pPr>
      <w:r>
        <w:rPr>
          <w:rFonts w:hint="eastAsia" w:ascii="宋体" w:hAnsi="宋体" w:cs="宋体"/>
          <w:b/>
          <w:bCs/>
          <w:color w:val="auto"/>
          <w:sz w:val="32"/>
          <w:szCs w:val="32"/>
          <w:highlight w:val="none"/>
        </w:rPr>
        <w:t>甲方（</w:t>
      </w:r>
      <w:r>
        <w:rPr>
          <w:rFonts w:hint="eastAsia" w:ascii="宋体" w:hAnsi="宋体" w:eastAsia="宋体" w:cs="宋体"/>
          <w:b/>
          <w:bCs/>
          <w:color w:val="auto"/>
          <w:sz w:val="32"/>
          <w:szCs w:val="32"/>
          <w:highlight w:val="none"/>
        </w:rPr>
        <w:t>委托人</w:t>
      </w:r>
      <w:r>
        <w:rPr>
          <w:rFonts w:hint="eastAsia" w:ascii="宋体" w:hAnsi="宋体" w:cs="宋体"/>
          <w:b/>
          <w:bCs/>
          <w:color w:val="auto"/>
          <w:sz w:val="32"/>
          <w:szCs w:val="32"/>
          <w:highlight w:val="none"/>
        </w:rPr>
        <w:t>）：惠州大亚湾环境水务集团有限公司</w:t>
      </w:r>
    </w:p>
    <w:p w14:paraId="252FFBF8">
      <w:pPr>
        <w:spacing w:line="360" w:lineRule="auto"/>
        <w:ind w:firstLine="1258" w:firstLineChars="393"/>
        <w:rPr>
          <w:rFonts w:ascii="宋体" w:hAnsi="宋体" w:cs="宋体"/>
          <w:b/>
          <w:color w:val="auto"/>
          <w:sz w:val="32"/>
          <w:szCs w:val="32"/>
          <w:highlight w:val="none"/>
        </w:rPr>
      </w:pPr>
    </w:p>
    <w:p w14:paraId="347C8AB8">
      <w:pPr>
        <w:spacing w:line="360" w:lineRule="auto"/>
        <w:ind w:firstLine="1258" w:firstLineChars="393"/>
        <w:rPr>
          <w:rFonts w:ascii="宋体" w:hAnsi="宋体" w:eastAsia="宋体" w:cs="宋体"/>
          <w:b/>
          <w:bCs/>
          <w:color w:val="auto"/>
          <w:sz w:val="32"/>
          <w:szCs w:val="32"/>
          <w:highlight w:val="none"/>
        </w:rPr>
      </w:pPr>
      <w:r>
        <w:rPr>
          <w:rFonts w:hint="eastAsia" w:ascii="宋体" w:hAnsi="宋体" w:cs="宋体"/>
          <w:b/>
          <w:bCs/>
          <w:color w:val="auto"/>
          <w:sz w:val="32"/>
          <w:szCs w:val="32"/>
          <w:highlight w:val="none"/>
        </w:rPr>
        <w:t>乙方（</w:t>
      </w:r>
      <w:r>
        <w:rPr>
          <w:rFonts w:hint="eastAsia" w:ascii="宋体" w:hAnsi="宋体" w:eastAsia="宋体" w:cs="宋体"/>
          <w:b/>
          <w:bCs/>
          <w:color w:val="auto"/>
          <w:sz w:val="32"/>
          <w:szCs w:val="32"/>
          <w:highlight w:val="none"/>
        </w:rPr>
        <w:t>竞得人</w:t>
      </w:r>
      <w:r>
        <w:rPr>
          <w:rFonts w:hint="eastAsia" w:ascii="宋体" w:hAnsi="宋体" w:cs="宋体"/>
          <w:b/>
          <w:bCs/>
          <w:color w:val="auto"/>
          <w:sz w:val="32"/>
          <w:szCs w:val="32"/>
          <w:highlight w:val="none"/>
        </w:rPr>
        <w:t>）：</w:t>
      </w:r>
    </w:p>
    <w:p w14:paraId="11B0F6E2">
      <w:pPr>
        <w:spacing w:line="360" w:lineRule="auto"/>
        <w:ind w:firstLine="1258" w:firstLineChars="393"/>
        <w:rPr>
          <w:rFonts w:ascii="宋体" w:hAnsi="宋体" w:cs="宋体"/>
          <w:b/>
          <w:color w:val="auto"/>
          <w:sz w:val="32"/>
          <w:szCs w:val="32"/>
          <w:highlight w:val="none"/>
        </w:rPr>
      </w:pPr>
    </w:p>
    <w:p w14:paraId="5A27380F">
      <w:pPr>
        <w:spacing w:line="360" w:lineRule="auto"/>
        <w:ind w:firstLine="1258" w:firstLineChars="393"/>
        <w:rPr>
          <w:rFonts w:ascii="宋体" w:hAnsi="宋体" w:cs="宋体"/>
          <w:b/>
          <w:bCs/>
          <w:color w:val="auto"/>
          <w:sz w:val="32"/>
          <w:szCs w:val="32"/>
          <w:highlight w:val="none"/>
        </w:rPr>
      </w:pPr>
      <w:r>
        <w:rPr>
          <w:rFonts w:hint="eastAsia" w:ascii="宋体" w:hAnsi="宋体" w:cs="宋体"/>
          <w:b/>
          <w:bCs/>
          <w:color w:val="auto"/>
          <w:sz w:val="32"/>
          <w:szCs w:val="32"/>
          <w:highlight w:val="none"/>
        </w:rPr>
        <w:t>签约时间：</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rPr>
        <w:t>年</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rPr>
        <w:t>月</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rPr>
        <w:t>日</w:t>
      </w:r>
    </w:p>
    <w:p w14:paraId="1AB84E11">
      <w:pPr>
        <w:spacing w:line="360" w:lineRule="auto"/>
        <w:ind w:firstLine="1258" w:firstLineChars="393"/>
        <w:rPr>
          <w:rFonts w:ascii="宋体" w:hAnsi="宋体" w:cs="宋体"/>
          <w:b/>
          <w:bCs/>
          <w:color w:val="auto"/>
          <w:sz w:val="32"/>
          <w:szCs w:val="32"/>
          <w:highlight w:val="none"/>
        </w:rPr>
      </w:pPr>
    </w:p>
    <w:p w14:paraId="2813304D">
      <w:pPr>
        <w:spacing w:line="360" w:lineRule="auto"/>
        <w:ind w:firstLine="1258" w:firstLineChars="393"/>
        <w:rPr>
          <w:rFonts w:ascii="宋体" w:hAnsi="宋体" w:eastAsia="宋体" w:cs="宋体"/>
          <w:b/>
          <w:bCs/>
          <w:color w:val="auto"/>
          <w:sz w:val="32"/>
          <w:szCs w:val="32"/>
          <w:highlight w:val="none"/>
          <w:u w:val="single"/>
        </w:rPr>
      </w:pPr>
      <w:r>
        <w:rPr>
          <w:rFonts w:hint="eastAsia" w:ascii="宋体" w:hAnsi="宋体" w:cs="宋体"/>
          <w:b/>
          <w:bCs/>
          <w:color w:val="auto"/>
          <w:sz w:val="32"/>
          <w:szCs w:val="32"/>
          <w:highlight w:val="none"/>
        </w:rPr>
        <w:t>签约地点：</w:t>
      </w:r>
    </w:p>
    <w:p w14:paraId="6048B941">
      <w:pPr>
        <w:spacing w:line="360" w:lineRule="auto"/>
        <w:ind w:firstLine="1258" w:firstLineChars="393"/>
        <w:rPr>
          <w:rFonts w:ascii="宋体" w:hAnsi="宋体" w:cs="宋体"/>
          <w:b/>
          <w:bCs/>
          <w:color w:val="auto"/>
          <w:sz w:val="32"/>
          <w:szCs w:val="32"/>
          <w:highlight w:val="none"/>
          <w:u w:val="single"/>
        </w:rPr>
      </w:pPr>
    </w:p>
    <w:p w14:paraId="0C12C59F">
      <w:pPr>
        <w:spacing w:line="360" w:lineRule="auto"/>
        <w:rPr>
          <w:rFonts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br w:type="page"/>
      </w:r>
    </w:p>
    <w:p w14:paraId="48C3928B">
      <w:pPr>
        <w:spacing w:line="360" w:lineRule="auto"/>
        <w:ind w:firstLine="0" w:firstLineChars="0"/>
        <w:jc w:val="center"/>
        <w:rPr>
          <w:rFonts w:hint="eastAsia" w:ascii="宋体" w:hAnsi="宋体" w:eastAsia="宋体" w:cs="宋体"/>
          <w:b/>
          <w:bCs/>
          <w:color w:val="auto"/>
          <w:sz w:val="36"/>
          <w:szCs w:val="36"/>
          <w:highlight w:val="none"/>
          <w:lang w:eastAsia="zh-CN"/>
        </w:rPr>
        <w:sectPr>
          <w:footerReference r:id="rId3" w:type="default"/>
          <w:pgSz w:w="11900" w:h="16840"/>
          <w:pgMar w:top="1440" w:right="1080" w:bottom="1440" w:left="1080" w:header="0" w:footer="470" w:gutter="0"/>
          <w:cols w:space="720" w:num="1"/>
        </w:sectPr>
      </w:pPr>
    </w:p>
    <w:sdt>
      <w:sdtPr>
        <w:rPr>
          <w:rFonts w:ascii="宋体" w:hAnsi="宋体" w:eastAsia="宋体" w:cs="Arial"/>
          <w:snapToGrid w:val="0"/>
          <w:color w:val="000000"/>
          <w:sz w:val="21"/>
          <w:szCs w:val="21"/>
          <w:lang w:val="en-US" w:eastAsia="zh-CN" w:bidi="ar-SA"/>
        </w:rPr>
        <w:id w:val="147461830"/>
        <w15:color w:val="DBDBDB"/>
        <w:docPartObj>
          <w:docPartGallery w:val="Table of Contents"/>
          <w:docPartUnique/>
        </w:docPartObj>
      </w:sdtPr>
      <w:sdtEndPr>
        <w:rPr>
          <w:rFonts w:hint="eastAsia" w:ascii="宋体" w:hAnsi="宋体" w:eastAsia="宋体" w:cs="宋体"/>
          <w:bCs/>
          <w:snapToGrid w:val="0"/>
          <w:color w:val="auto"/>
          <w:sz w:val="21"/>
          <w:szCs w:val="36"/>
          <w:highlight w:val="none"/>
          <w:lang w:val="en-US" w:eastAsia="zh-CN" w:bidi="ar-SA"/>
        </w:rPr>
      </w:sdtEndPr>
      <w:sdtContent>
        <w:p w14:paraId="35211F18">
          <w:pPr>
            <w:spacing w:before="0" w:beforeLines="0" w:after="0" w:afterLines="0" w:line="360" w:lineRule="auto"/>
            <w:ind w:left="0" w:leftChars="0" w:right="0" w:rightChars="0" w:firstLine="0" w:firstLineChars="0"/>
            <w:jc w:val="center"/>
            <w:rPr>
              <w:rFonts w:hint="eastAsia" w:ascii="黑体" w:hAnsi="黑体" w:eastAsia="黑体" w:cs="黑体"/>
              <w:sz w:val="28"/>
              <w:szCs w:val="28"/>
            </w:rPr>
          </w:pPr>
          <w:r>
            <w:rPr>
              <w:rFonts w:hint="eastAsia" w:ascii="黑体" w:hAnsi="黑体" w:eastAsia="黑体" w:cs="黑体"/>
              <w:sz w:val="28"/>
              <w:szCs w:val="28"/>
            </w:rPr>
            <w:t>目录</w:t>
          </w:r>
        </w:p>
        <w:p w14:paraId="36B8A9D6">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
              <w:bCs/>
              <w:color w:val="auto"/>
              <w:sz w:val="28"/>
              <w:szCs w:val="28"/>
              <w:highlight w:val="none"/>
              <w:lang w:eastAsia="zh-CN"/>
            </w:rPr>
            <w:fldChar w:fldCharType="begin"/>
          </w:r>
          <w:r>
            <w:rPr>
              <w:rFonts w:hint="eastAsia" w:ascii="黑体" w:hAnsi="黑体" w:eastAsia="黑体" w:cs="黑体"/>
              <w:b/>
              <w:bCs/>
              <w:color w:val="auto"/>
              <w:sz w:val="28"/>
              <w:szCs w:val="28"/>
              <w:highlight w:val="none"/>
              <w:lang w:eastAsia="zh-CN"/>
            </w:rPr>
            <w:instrText xml:space="preserve">TOC \o "1-1" \h \u </w:instrText>
          </w:r>
          <w:r>
            <w:rPr>
              <w:rFonts w:hint="eastAsia" w:ascii="黑体" w:hAnsi="黑体" w:eastAsia="黑体" w:cs="黑体"/>
              <w:b/>
              <w:bCs/>
              <w:color w:val="auto"/>
              <w:sz w:val="28"/>
              <w:szCs w:val="28"/>
              <w:highlight w:val="none"/>
              <w:lang w:eastAsia="zh-CN"/>
            </w:rPr>
            <w:fldChar w:fldCharType="separate"/>
          </w:r>
        </w:p>
        <w:p w14:paraId="36B74BD5">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_Toc30105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pacing w:val="-10"/>
              <w:sz w:val="28"/>
              <w:szCs w:val="28"/>
              <w:highlight w:val="none"/>
            </w:rPr>
            <w:t>第一条</w:t>
          </w:r>
          <w:r>
            <w:rPr>
              <w:rFonts w:hint="eastAsia" w:ascii="黑体" w:hAnsi="黑体" w:eastAsia="黑体" w:cs="黑体"/>
              <w:bCs/>
              <w:spacing w:val="-10"/>
              <w:sz w:val="28"/>
              <w:szCs w:val="28"/>
              <w:highlight w:val="none"/>
              <w:lang w:val="en-US" w:eastAsia="zh-CN"/>
            </w:rPr>
            <w:t xml:space="preserve">    项目</w:t>
          </w:r>
          <w:r>
            <w:rPr>
              <w:rFonts w:hint="eastAsia" w:ascii="黑体" w:hAnsi="黑体" w:eastAsia="黑体" w:cs="黑体"/>
              <w:bCs/>
              <w:spacing w:val="-10"/>
              <w:sz w:val="28"/>
              <w:szCs w:val="28"/>
              <w:highlight w:val="none"/>
            </w:rPr>
            <w:t>基本情况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_Toc30105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5D673C6F">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_Toc25396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pacing w:val="-10"/>
              <w:sz w:val="28"/>
              <w:szCs w:val="28"/>
              <w:highlight w:val="none"/>
            </w:rPr>
            <w:t>第二条</w:t>
          </w:r>
          <w:r>
            <w:rPr>
              <w:rFonts w:hint="eastAsia" w:ascii="黑体" w:hAnsi="黑体" w:eastAsia="黑体" w:cs="黑体"/>
              <w:bCs/>
              <w:spacing w:val="-10"/>
              <w:sz w:val="28"/>
              <w:szCs w:val="28"/>
              <w:highlight w:val="none"/>
              <w:lang w:val="en-US" w:eastAsia="zh-CN"/>
            </w:rPr>
            <w:t xml:space="preserve">    </w:t>
          </w:r>
          <w:r>
            <w:rPr>
              <w:rFonts w:hint="eastAsia" w:ascii="黑体" w:hAnsi="黑体" w:eastAsia="黑体" w:cs="黑体"/>
              <w:bCs/>
              <w:spacing w:val="-10"/>
              <w:sz w:val="28"/>
              <w:szCs w:val="28"/>
              <w:highlight w:val="none"/>
            </w:rPr>
            <w:t>处置期限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_Toc25396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3D2B222D">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_Toc5792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pacing w:val="-10"/>
              <w:sz w:val="28"/>
              <w:szCs w:val="28"/>
              <w:highlight w:val="none"/>
            </w:rPr>
            <w:t>第三条</w:t>
          </w:r>
          <w:r>
            <w:rPr>
              <w:rFonts w:hint="eastAsia" w:ascii="黑体" w:hAnsi="黑体" w:eastAsia="黑体" w:cs="黑体"/>
              <w:bCs/>
              <w:spacing w:val="-10"/>
              <w:sz w:val="28"/>
              <w:szCs w:val="28"/>
              <w:highlight w:val="none"/>
              <w:lang w:val="en-US" w:eastAsia="zh-CN"/>
            </w:rPr>
            <w:t xml:space="preserve">    资产处置</w:t>
          </w:r>
          <w:r>
            <w:rPr>
              <w:rFonts w:hint="eastAsia" w:ascii="黑体" w:hAnsi="黑体" w:eastAsia="黑体" w:cs="黑体"/>
              <w:bCs/>
              <w:spacing w:val="-10"/>
              <w:sz w:val="28"/>
              <w:szCs w:val="28"/>
              <w:highlight w:val="none"/>
            </w:rPr>
            <w:t>款等款项的支付</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_Toc5792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317C7473">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_Toc32015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pacing w:val="-8"/>
              <w:sz w:val="28"/>
              <w:szCs w:val="28"/>
              <w:highlight w:val="none"/>
            </w:rPr>
            <w:t>第</w:t>
          </w:r>
          <w:r>
            <w:rPr>
              <w:rFonts w:hint="eastAsia" w:ascii="黑体" w:hAnsi="黑体" w:eastAsia="黑体" w:cs="黑体"/>
              <w:bCs/>
              <w:spacing w:val="-8"/>
              <w:sz w:val="28"/>
              <w:szCs w:val="28"/>
              <w:highlight w:val="none"/>
              <w:lang w:val="en-US" w:eastAsia="zh-CN"/>
            </w:rPr>
            <w:t>四</w:t>
          </w:r>
          <w:r>
            <w:rPr>
              <w:rFonts w:hint="eastAsia" w:ascii="黑体" w:hAnsi="黑体" w:eastAsia="黑体" w:cs="黑体"/>
              <w:bCs/>
              <w:spacing w:val="-8"/>
              <w:sz w:val="28"/>
              <w:szCs w:val="28"/>
              <w:highlight w:val="none"/>
            </w:rPr>
            <w:t>条    甲方权利</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_Toc32015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1FBEF9C9">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_Toc10070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w:t>
          </w:r>
          <w:r>
            <w:rPr>
              <w:rFonts w:hint="eastAsia" w:ascii="黑体" w:hAnsi="黑体" w:eastAsia="黑体" w:cs="黑体"/>
              <w:bCs/>
              <w:sz w:val="28"/>
              <w:szCs w:val="28"/>
              <w:highlight w:val="none"/>
              <w:lang w:val="en-US" w:eastAsia="zh-CN"/>
            </w:rPr>
            <w:t>五</w:t>
          </w:r>
          <w:r>
            <w:rPr>
              <w:rFonts w:hint="eastAsia" w:ascii="黑体" w:hAnsi="黑体" w:eastAsia="黑体" w:cs="黑体"/>
              <w:bCs/>
              <w:sz w:val="28"/>
              <w:szCs w:val="28"/>
              <w:highlight w:val="none"/>
            </w:rPr>
            <w:t>条</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甲</w:t>
          </w:r>
          <w:r>
            <w:rPr>
              <w:rFonts w:hint="eastAsia" w:ascii="黑体" w:hAnsi="黑体" w:eastAsia="黑体" w:cs="黑体"/>
              <w:bCs/>
              <w:spacing w:val="-3"/>
              <w:sz w:val="28"/>
              <w:szCs w:val="28"/>
              <w:highlight w:val="none"/>
            </w:rPr>
            <w:t>方</w:t>
          </w:r>
          <w:r>
            <w:rPr>
              <w:rFonts w:hint="eastAsia" w:ascii="黑体" w:hAnsi="黑体" w:eastAsia="黑体" w:cs="黑体"/>
              <w:bCs/>
              <w:sz w:val="28"/>
              <w:szCs w:val="28"/>
              <w:highlight w:val="none"/>
            </w:rPr>
            <w:t>义务</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_Toc10070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4B6572B7">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_Toc12472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w:t>
          </w:r>
          <w:r>
            <w:rPr>
              <w:rFonts w:hint="eastAsia" w:ascii="黑体" w:hAnsi="黑体" w:eastAsia="黑体" w:cs="黑体"/>
              <w:bCs/>
              <w:sz w:val="28"/>
              <w:szCs w:val="28"/>
              <w:highlight w:val="none"/>
              <w:lang w:val="en-US" w:eastAsia="zh-CN"/>
            </w:rPr>
            <w:t>六</w:t>
          </w:r>
          <w:r>
            <w:rPr>
              <w:rFonts w:hint="eastAsia" w:ascii="黑体" w:hAnsi="黑体" w:eastAsia="黑体" w:cs="黑体"/>
              <w:bCs/>
              <w:sz w:val="28"/>
              <w:szCs w:val="28"/>
              <w:highlight w:val="none"/>
            </w:rPr>
            <w:t>条</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乙</w:t>
          </w:r>
          <w:r>
            <w:rPr>
              <w:rFonts w:hint="eastAsia" w:ascii="黑体" w:hAnsi="黑体" w:eastAsia="黑体" w:cs="黑体"/>
              <w:bCs/>
              <w:spacing w:val="-3"/>
              <w:sz w:val="28"/>
              <w:szCs w:val="28"/>
              <w:highlight w:val="none"/>
            </w:rPr>
            <w:t>方</w:t>
          </w:r>
          <w:r>
            <w:rPr>
              <w:rFonts w:hint="eastAsia" w:ascii="黑体" w:hAnsi="黑体" w:eastAsia="黑体" w:cs="黑体"/>
              <w:bCs/>
              <w:sz w:val="28"/>
              <w:szCs w:val="28"/>
              <w:highlight w:val="none"/>
            </w:rPr>
            <w:t>权利</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_Toc12472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575D3C2D">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_Toc22818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w:t>
          </w:r>
          <w:r>
            <w:rPr>
              <w:rFonts w:hint="eastAsia" w:ascii="黑体" w:hAnsi="黑体" w:eastAsia="黑体" w:cs="黑体"/>
              <w:bCs/>
              <w:sz w:val="28"/>
              <w:szCs w:val="28"/>
              <w:highlight w:val="none"/>
              <w:lang w:val="en-US" w:eastAsia="zh-CN"/>
            </w:rPr>
            <w:t>七</w:t>
          </w:r>
          <w:r>
            <w:rPr>
              <w:rFonts w:hint="eastAsia" w:ascii="黑体" w:hAnsi="黑体" w:eastAsia="黑体" w:cs="黑体"/>
              <w:bCs/>
              <w:sz w:val="28"/>
              <w:szCs w:val="28"/>
              <w:highlight w:val="none"/>
            </w:rPr>
            <w:t>条   乙</w:t>
          </w:r>
          <w:r>
            <w:rPr>
              <w:rFonts w:hint="eastAsia" w:ascii="黑体" w:hAnsi="黑体" w:eastAsia="黑体" w:cs="黑体"/>
              <w:bCs/>
              <w:spacing w:val="-3"/>
              <w:sz w:val="28"/>
              <w:szCs w:val="28"/>
              <w:highlight w:val="none"/>
            </w:rPr>
            <w:t>方</w:t>
          </w:r>
          <w:r>
            <w:rPr>
              <w:rFonts w:hint="eastAsia" w:ascii="黑体" w:hAnsi="黑体" w:eastAsia="黑体" w:cs="黑体"/>
              <w:bCs/>
              <w:sz w:val="28"/>
              <w:szCs w:val="28"/>
              <w:highlight w:val="none"/>
            </w:rPr>
            <w:t>义务</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_Toc22818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2896AC35">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_Toc15014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w:t>
          </w:r>
          <w:r>
            <w:rPr>
              <w:rFonts w:hint="eastAsia" w:ascii="黑体" w:hAnsi="黑体" w:eastAsia="黑体" w:cs="黑体"/>
              <w:bCs/>
              <w:sz w:val="28"/>
              <w:szCs w:val="28"/>
              <w:highlight w:val="none"/>
              <w:lang w:val="en-US" w:eastAsia="zh-CN"/>
            </w:rPr>
            <w:t>八</w:t>
          </w:r>
          <w:r>
            <w:rPr>
              <w:rFonts w:hint="eastAsia" w:ascii="黑体" w:hAnsi="黑体" w:eastAsia="黑体" w:cs="黑体"/>
              <w:bCs/>
              <w:sz w:val="28"/>
              <w:szCs w:val="28"/>
              <w:highlight w:val="none"/>
            </w:rPr>
            <w:t>条</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pacing w:val="-1"/>
              <w:sz w:val="28"/>
              <w:szCs w:val="28"/>
              <w:highlight w:val="none"/>
            </w:rPr>
            <w:t>违</w:t>
          </w:r>
          <w:r>
            <w:rPr>
              <w:rFonts w:hint="eastAsia" w:ascii="黑体" w:hAnsi="黑体" w:eastAsia="黑体" w:cs="黑体"/>
              <w:bCs/>
              <w:spacing w:val="-3"/>
              <w:sz w:val="28"/>
              <w:szCs w:val="28"/>
              <w:highlight w:val="none"/>
            </w:rPr>
            <w:t>约</w:t>
          </w:r>
          <w:r>
            <w:rPr>
              <w:rFonts w:hint="eastAsia" w:ascii="黑体" w:hAnsi="黑体" w:eastAsia="黑体" w:cs="黑体"/>
              <w:bCs/>
              <w:spacing w:val="-1"/>
              <w:sz w:val="28"/>
              <w:szCs w:val="28"/>
              <w:highlight w:val="none"/>
            </w:rPr>
            <w:t>责</w:t>
          </w:r>
          <w:r>
            <w:rPr>
              <w:rFonts w:hint="eastAsia" w:ascii="黑体" w:hAnsi="黑体" w:eastAsia="黑体" w:cs="黑体"/>
              <w:bCs/>
              <w:sz w:val="28"/>
              <w:szCs w:val="28"/>
              <w:highlight w:val="none"/>
            </w:rPr>
            <w:t>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_Toc15014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4139366E">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_Toc19589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w:t>
          </w:r>
          <w:r>
            <w:rPr>
              <w:rFonts w:hint="eastAsia" w:ascii="黑体" w:hAnsi="黑体" w:eastAsia="黑体" w:cs="黑体"/>
              <w:bCs/>
              <w:sz w:val="28"/>
              <w:szCs w:val="28"/>
              <w:highlight w:val="none"/>
              <w:lang w:val="en-US" w:eastAsia="zh-CN"/>
            </w:rPr>
            <w:t>九</w:t>
          </w:r>
          <w:r>
            <w:rPr>
              <w:rFonts w:hint="eastAsia" w:ascii="黑体" w:hAnsi="黑体" w:eastAsia="黑体" w:cs="黑体"/>
              <w:bCs/>
              <w:sz w:val="28"/>
              <w:szCs w:val="28"/>
              <w:highlight w:val="none"/>
            </w:rPr>
            <w:t>条</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特</w:t>
          </w:r>
          <w:r>
            <w:rPr>
              <w:rFonts w:hint="eastAsia" w:ascii="黑体" w:hAnsi="黑体" w:eastAsia="黑体" w:cs="黑体"/>
              <w:bCs/>
              <w:spacing w:val="-3"/>
              <w:sz w:val="28"/>
              <w:szCs w:val="28"/>
              <w:highlight w:val="none"/>
            </w:rPr>
            <w:t>别</w:t>
          </w:r>
          <w:r>
            <w:rPr>
              <w:rFonts w:hint="eastAsia" w:ascii="黑体" w:hAnsi="黑体" w:eastAsia="黑体" w:cs="黑体"/>
              <w:bCs/>
              <w:sz w:val="28"/>
              <w:szCs w:val="28"/>
              <w:highlight w:val="none"/>
            </w:rPr>
            <w:t>约定</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_Toc19589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1F2BFA99">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_Toc24473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w:t>
          </w:r>
          <w:r>
            <w:rPr>
              <w:rFonts w:hint="eastAsia" w:ascii="黑体" w:hAnsi="黑体" w:eastAsia="黑体" w:cs="黑体"/>
              <w:bCs/>
              <w:spacing w:val="-3"/>
              <w:sz w:val="28"/>
              <w:szCs w:val="28"/>
              <w:highlight w:val="none"/>
            </w:rPr>
            <w:t>十</w:t>
          </w:r>
          <w:r>
            <w:rPr>
              <w:rFonts w:hint="eastAsia" w:ascii="黑体" w:hAnsi="黑体" w:eastAsia="黑体" w:cs="黑体"/>
              <w:bCs/>
              <w:sz w:val="28"/>
              <w:szCs w:val="28"/>
              <w:highlight w:val="none"/>
            </w:rPr>
            <w:t>条</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其</w:t>
          </w:r>
          <w:r>
            <w:rPr>
              <w:rFonts w:hint="eastAsia" w:ascii="黑体" w:hAnsi="黑体" w:eastAsia="黑体" w:cs="黑体"/>
              <w:bCs/>
              <w:spacing w:val="-3"/>
              <w:sz w:val="28"/>
              <w:szCs w:val="28"/>
              <w:highlight w:val="none"/>
            </w:rPr>
            <w:t>他</w:t>
          </w:r>
          <w:r>
            <w:rPr>
              <w:rFonts w:hint="eastAsia" w:ascii="黑体" w:hAnsi="黑体" w:eastAsia="黑体" w:cs="黑体"/>
              <w:bCs/>
              <w:sz w:val="28"/>
              <w:szCs w:val="28"/>
              <w:highlight w:val="none"/>
            </w:rPr>
            <w:t>约定</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_Toc24473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23D370D2">
          <w:pPr>
            <w:pStyle w:val="13"/>
            <w:tabs>
              <w:tab w:val="right" w:pos="2400"/>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_Toc18552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第十</w:t>
          </w:r>
          <w:r>
            <w:rPr>
              <w:rFonts w:hint="eastAsia" w:ascii="黑体" w:hAnsi="黑体" w:eastAsia="黑体" w:cs="黑体"/>
              <w:bCs/>
              <w:sz w:val="28"/>
              <w:szCs w:val="28"/>
              <w:highlight w:val="none"/>
              <w:lang w:val="en-US" w:eastAsia="zh-CN"/>
            </w:rPr>
            <w:t>一</w:t>
          </w:r>
          <w:r>
            <w:rPr>
              <w:rFonts w:hint="eastAsia" w:ascii="黑体" w:hAnsi="黑体" w:eastAsia="黑体" w:cs="黑体"/>
              <w:bCs/>
              <w:sz w:val="28"/>
              <w:szCs w:val="28"/>
              <w:highlight w:val="none"/>
            </w:rPr>
            <w:t>条</w:t>
          </w:r>
          <w:r>
            <w:rPr>
              <w:rFonts w:hint="eastAsia" w:ascii="黑体" w:hAnsi="黑体" w:eastAsia="黑体" w:cs="黑体"/>
              <w:bCs/>
              <w:sz w:val="28"/>
              <w:szCs w:val="28"/>
              <w:highlight w:val="none"/>
            </w:rPr>
            <w:tab/>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甲方</w:t>
          </w:r>
          <w:r>
            <w:rPr>
              <w:rFonts w:hint="eastAsia" w:ascii="黑体" w:hAnsi="黑体" w:eastAsia="黑体" w:cs="黑体"/>
              <w:bCs/>
              <w:sz w:val="28"/>
              <w:szCs w:val="28"/>
              <w:highlight w:val="none"/>
              <w:lang w:val="en-US" w:eastAsia="zh-CN"/>
            </w:rPr>
            <w:t>资产</w:t>
          </w:r>
          <w:r>
            <w:rPr>
              <w:rFonts w:hint="eastAsia" w:ascii="黑体" w:hAnsi="黑体" w:eastAsia="黑体" w:cs="黑体"/>
              <w:bCs/>
              <w:sz w:val="28"/>
              <w:szCs w:val="28"/>
              <w:highlight w:val="none"/>
              <w:lang w:eastAsia="zh-CN"/>
            </w:rPr>
            <w:t>处置</w:t>
          </w:r>
          <w:r>
            <w:rPr>
              <w:rFonts w:hint="eastAsia" w:ascii="黑体" w:hAnsi="黑体" w:eastAsia="黑体" w:cs="黑体"/>
              <w:bCs/>
              <w:sz w:val="28"/>
              <w:szCs w:val="28"/>
              <w:highlight w:val="none"/>
            </w:rPr>
            <w:t>款收款</w:t>
          </w:r>
          <w:r>
            <w:rPr>
              <w:rFonts w:hint="eastAsia" w:ascii="黑体" w:hAnsi="黑体" w:eastAsia="黑体" w:cs="黑体"/>
              <w:bCs/>
              <w:sz w:val="28"/>
              <w:szCs w:val="28"/>
              <w:highlight w:val="none"/>
              <w:lang w:val="en-US" w:eastAsia="zh-CN"/>
            </w:rPr>
            <w:t>账号</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_Toc18552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47FA391F">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_Toc29430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napToGrid w:val="0"/>
              <w:sz w:val="28"/>
              <w:szCs w:val="28"/>
              <w:lang w:val="en-US" w:eastAsia="zh-CN" w:bidi="ar-SA"/>
            </w:rPr>
            <w:t>第十二条</w:t>
          </w:r>
          <w:r>
            <w:rPr>
              <w:rFonts w:hint="eastAsia" w:ascii="黑体" w:hAnsi="黑体" w:eastAsia="黑体" w:cs="黑体"/>
              <w:bCs/>
              <w:sz w:val="28"/>
              <w:szCs w:val="28"/>
              <w:highlight w:val="none"/>
            </w:rPr>
            <w:t xml:space="preserve">   </w:t>
          </w:r>
          <w:r>
            <w:rPr>
              <w:rFonts w:hint="eastAsia" w:ascii="黑体" w:hAnsi="黑体" w:eastAsia="黑体" w:cs="黑体"/>
              <w:bCs/>
              <w:sz w:val="28"/>
              <w:szCs w:val="28"/>
              <w:highlight w:val="none"/>
              <w:lang w:val="en-US" w:eastAsia="zh-CN"/>
            </w:rPr>
            <w:t>未尽事宜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_Toc29430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385B9E1B">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_Toc8666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w:t>
          </w:r>
          <w:r>
            <w:rPr>
              <w:rFonts w:hint="eastAsia" w:ascii="黑体" w:hAnsi="黑体" w:eastAsia="黑体" w:cs="黑体"/>
              <w:bCs/>
              <w:spacing w:val="-3"/>
              <w:sz w:val="28"/>
              <w:szCs w:val="28"/>
              <w:highlight w:val="none"/>
            </w:rPr>
            <w:t>十</w:t>
          </w:r>
          <w:r>
            <w:rPr>
              <w:rFonts w:hint="eastAsia" w:ascii="黑体" w:hAnsi="黑体" w:eastAsia="黑体" w:cs="黑体"/>
              <w:bCs/>
              <w:spacing w:val="-3"/>
              <w:sz w:val="28"/>
              <w:szCs w:val="28"/>
              <w:highlight w:val="none"/>
              <w:lang w:val="en-US" w:eastAsia="zh-CN"/>
            </w:rPr>
            <w:t>三</w:t>
          </w:r>
          <w:r>
            <w:rPr>
              <w:rFonts w:hint="eastAsia" w:ascii="黑体" w:hAnsi="黑体" w:eastAsia="黑体" w:cs="黑体"/>
              <w:bCs/>
              <w:sz w:val="28"/>
              <w:szCs w:val="28"/>
              <w:highlight w:val="none"/>
            </w:rPr>
            <w:t xml:space="preserve">条   </w:t>
          </w:r>
          <w:r>
            <w:rPr>
              <w:rFonts w:hint="eastAsia" w:ascii="黑体" w:hAnsi="黑体" w:eastAsia="黑体" w:cs="黑体"/>
              <w:bCs/>
              <w:sz w:val="28"/>
              <w:szCs w:val="28"/>
              <w:highlight w:val="none"/>
              <w:lang w:val="en-US" w:eastAsia="zh-CN"/>
            </w:rPr>
            <w:t>争议的解决</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_Toc8666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32E6BE31">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_Toc12551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napToGrid w:val="0"/>
              <w:sz w:val="28"/>
              <w:szCs w:val="28"/>
              <w:lang w:val="en-US" w:eastAsia="zh-CN" w:bidi="ar-SA"/>
            </w:rPr>
            <w:t>第十四条</w:t>
          </w:r>
          <w:r>
            <w:rPr>
              <w:rFonts w:hint="eastAsia" w:ascii="黑体" w:hAnsi="黑体" w:eastAsia="黑体" w:cs="黑体"/>
              <w:bCs/>
              <w:sz w:val="28"/>
              <w:szCs w:val="28"/>
              <w:highlight w:val="none"/>
            </w:rPr>
            <w:t xml:space="preserve">   </w:t>
          </w:r>
          <w:r>
            <w:rPr>
              <w:rFonts w:hint="eastAsia" w:ascii="黑体" w:hAnsi="黑体" w:eastAsia="黑体" w:cs="黑体"/>
              <w:bCs/>
              <w:sz w:val="28"/>
              <w:szCs w:val="28"/>
              <w:highlight w:val="none"/>
              <w:lang w:val="en-US" w:eastAsia="zh-CN"/>
            </w:rPr>
            <w:t>合同份数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_Toc12551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446502A2">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_Toc31526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第十</w:t>
          </w:r>
          <w:r>
            <w:rPr>
              <w:rFonts w:hint="eastAsia" w:ascii="黑体" w:hAnsi="黑体" w:eastAsia="黑体" w:cs="黑体"/>
              <w:bCs/>
              <w:sz w:val="28"/>
              <w:szCs w:val="28"/>
              <w:highlight w:val="none"/>
              <w:lang w:val="en-US" w:eastAsia="zh-CN"/>
            </w:rPr>
            <w:t>五</w:t>
          </w:r>
          <w:r>
            <w:rPr>
              <w:rFonts w:hint="eastAsia" w:ascii="黑体" w:hAnsi="黑体" w:eastAsia="黑体" w:cs="黑体"/>
              <w:bCs/>
              <w:sz w:val="28"/>
              <w:szCs w:val="28"/>
              <w:highlight w:val="none"/>
            </w:rPr>
            <w:t>条   合同生效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_Toc31526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65324C02">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_Toc5194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第十</w:t>
          </w:r>
          <w:r>
            <w:rPr>
              <w:rFonts w:hint="eastAsia" w:ascii="黑体" w:hAnsi="黑体" w:eastAsia="黑体" w:cs="黑体"/>
              <w:bCs/>
              <w:sz w:val="28"/>
              <w:szCs w:val="28"/>
              <w:highlight w:val="none"/>
              <w:lang w:val="en-US" w:eastAsia="zh-CN"/>
            </w:rPr>
            <w:t>六</w:t>
          </w:r>
          <w:r>
            <w:rPr>
              <w:rFonts w:hint="eastAsia" w:ascii="黑体" w:hAnsi="黑体" w:eastAsia="黑体" w:cs="黑体"/>
              <w:bCs/>
              <w:sz w:val="28"/>
              <w:szCs w:val="28"/>
              <w:highlight w:val="none"/>
            </w:rPr>
            <w:t xml:space="preserve">条   </w:t>
          </w:r>
          <w:r>
            <w:rPr>
              <w:rFonts w:hint="eastAsia" w:ascii="黑体" w:hAnsi="黑体" w:eastAsia="黑体" w:cs="黑体"/>
              <w:bCs/>
              <w:sz w:val="28"/>
              <w:szCs w:val="28"/>
              <w:highlight w:val="none"/>
              <w:lang w:val="en-US" w:eastAsia="zh-CN"/>
            </w:rPr>
            <w:t>附件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_Toc5194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5447242A">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_Toc1802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sz w:val="28"/>
              <w:szCs w:val="28"/>
              <w:highlight w:val="none"/>
            </w:rPr>
            <w:t>附件1：《安全生产管理协议》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_Toc1802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26E59D6F">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_Toc17973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i w:val="0"/>
              <w:iCs/>
              <w:sz w:val="28"/>
              <w:szCs w:val="28"/>
              <w:highlight w:val="none"/>
            </w:rPr>
            <w:t>附件2：《廉洁协议》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_Toc17973 \h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1D348701">
          <w:pPr>
            <w:pStyle w:val="13"/>
            <w:tabs>
              <w:tab w:val="right" w:leader="dot" w:pos="9740"/>
            </w:tabs>
            <w:spacing w:line="360" w:lineRule="auto"/>
            <w:rPr>
              <w:rFonts w:hint="eastAsia" w:ascii="黑体" w:hAnsi="黑体" w:eastAsia="黑体" w:cs="黑体"/>
              <w:sz w:val="28"/>
              <w:szCs w:val="28"/>
            </w:rPr>
          </w:pPr>
          <w:r>
            <w:rPr>
              <w:rFonts w:hint="eastAsia" w:ascii="黑体" w:hAnsi="黑体" w:eastAsia="黑体" w:cs="黑体"/>
              <w:bCs/>
              <w:color w:val="auto"/>
              <w:sz w:val="28"/>
              <w:szCs w:val="28"/>
              <w:highlight w:val="none"/>
              <w:lang w:eastAsia="zh-CN"/>
            </w:rPr>
            <w:fldChar w:fldCharType="begin"/>
          </w:r>
          <w:r>
            <w:rPr>
              <w:rFonts w:hint="eastAsia" w:ascii="黑体" w:hAnsi="黑体" w:eastAsia="黑体" w:cs="黑体"/>
              <w:bCs/>
              <w:sz w:val="28"/>
              <w:szCs w:val="28"/>
              <w:highlight w:val="none"/>
              <w:lang w:eastAsia="zh-CN"/>
            </w:rPr>
            <w:instrText xml:space="preserve"> HYPERLINK \l _Toc3229 </w:instrText>
          </w:r>
          <w:r>
            <w:rPr>
              <w:rFonts w:hint="eastAsia" w:ascii="黑体" w:hAnsi="黑体" w:eastAsia="黑体" w:cs="黑体"/>
              <w:bCs/>
              <w:sz w:val="28"/>
              <w:szCs w:val="28"/>
              <w:highlight w:val="none"/>
              <w:lang w:eastAsia="zh-CN"/>
            </w:rPr>
            <w:fldChar w:fldCharType="separate"/>
          </w:r>
          <w:r>
            <w:rPr>
              <w:rFonts w:hint="eastAsia" w:ascii="黑体" w:hAnsi="黑体" w:eastAsia="黑体" w:cs="黑体"/>
              <w:bCs/>
              <w:i w:val="0"/>
              <w:iCs/>
              <w:sz w:val="28"/>
              <w:szCs w:val="28"/>
              <w:highlight w:val="none"/>
            </w:rPr>
            <w:t>附件</w:t>
          </w:r>
          <w:r>
            <w:rPr>
              <w:rFonts w:hint="eastAsia" w:ascii="黑体" w:hAnsi="黑体" w:eastAsia="黑体" w:cs="黑体"/>
              <w:bCs/>
              <w:i w:val="0"/>
              <w:iCs/>
              <w:sz w:val="28"/>
              <w:szCs w:val="28"/>
              <w:highlight w:val="none"/>
              <w:lang w:val="en-US" w:eastAsia="zh-CN"/>
            </w:rPr>
            <w:t>3</w:t>
          </w:r>
          <w:r>
            <w:rPr>
              <w:rFonts w:hint="eastAsia" w:ascii="黑体" w:hAnsi="黑体" w:eastAsia="黑体" w:cs="黑体"/>
              <w:bCs/>
              <w:i w:val="0"/>
              <w:iCs/>
              <w:sz w:val="28"/>
              <w:szCs w:val="28"/>
              <w:highlight w:val="none"/>
            </w:rPr>
            <w:t>：《</w:t>
          </w:r>
          <w:r>
            <w:rPr>
              <w:rFonts w:hint="eastAsia" w:ascii="黑体" w:hAnsi="黑体" w:eastAsia="黑体" w:cs="黑体"/>
              <w:bCs/>
              <w:i w:val="0"/>
              <w:iCs/>
              <w:sz w:val="28"/>
              <w:szCs w:val="28"/>
              <w:highlight w:val="none"/>
              <w:lang w:val="en-US" w:eastAsia="zh-CN"/>
            </w:rPr>
            <w:t>合规</w:t>
          </w:r>
          <w:r>
            <w:rPr>
              <w:rFonts w:hint="eastAsia" w:ascii="黑体" w:hAnsi="黑体" w:eastAsia="黑体" w:cs="黑体"/>
              <w:bCs/>
              <w:i w:val="0"/>
              <w:iCs/>
              <w:sz w:val="28"/>
              <w:szCs w:val="28"/>
              <w:highlight w:val="none"/>
            </w:rPr>
            <w:t>协议》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_Toc3229 \h </w:instrText>
          </w:r>
          <w:r>
            <w:rPr>
              <w:rFonts w:hint="eastAsia" w:ascii="黑体" w:hAnsi="黑体" w:eastAsia="黑体" w:cs="黑体"/>
              <w:sz w:val="28"/>
              <w:szCs w:val="28"/>
            </w:rPr>
            <w:fldChar w:fldCharType="separate"/>
          </w:r>
          <w:r>
            <w:rPr>
              <w:rFonts w:hint="eastAsia" w:ascii="黑体" w:hAnsi="黑体" w:eastAsia="黑体" w:cs="黑体"/>
              <w:sz w:val="28"/>
              <w:szCs w:val="28"/>
            </w:rPr>
            <w:t>17</w:t>
          </w:r>
          <w:r>
            <w:rPr>
              <w:rFonts w:hint="eastAsia" w:ascii="黑体" w:hAnsi="黑体" w:eastAsia="黑体" w:cs="黑体"/>
              <w:sz w:val="28"/>
              <w:szCs w:val="28"/>
            </w:rPr>
            <w:fldChar w:fldCharType="end"/>
          </w:r>
          <w:r>
            <w:rPr>
              <w:rFonts w:hint="eastAsia" w:ascii="黑体" w:hAnsi="黑体" w:eastAsia="黑体" w:cs="黑体"/>
              <w:bCs/>
              <w:color w:val="auto"/>
              <w:sz w:val="28"/>
              <w:szCs w:val="28"/>
              <w:highlight w:val="none"/>
              <w:lang w:eastAsia="zh-CN"/>
            </w:rPr>
            <w:fldChar w:fldCharType="end"/>
          </w:r>
        </w:p>
        <w:p w14:paraId="523BED1D">
          <w:pPr>
            <w:spacing w:line="360" w:lineRule="auto"/>
            <w:ind w:firstLine="0" w:firstLineChars="0"/>
            <w:jc w:val="center"/>
            <w:rPr>
              <w:rFonts w:hint="eastAsia" w:ascii="宋体" w:hAnsi="宋体" w:eastAsia="宋体" w:cs="宋体"/>
              <w:bCs/>
              <w:snapToGrid w:val="0"/>
              <w:color w:val="auto"/>
              <w:sz w:val="21"/>
              <w:szCs w:val="36"/>
              <w:highlight w:val="none"/>
              <w:lang w:val="en-US" w:eastAsia="zh-CN" w:bidi="ar-SA"/>
            </w:rPr>
          </w:pPr>
          <w:r>
            <w:rPr>
              <w:rFonts w:hint="eastAsia" w:ascii="黑体" w:hAnsi="黑体" w:eastAsia="黑体" w:cs="黑体"/>
              <w:bCs/>
              <w:color w:val="auto"/>
              <w:sz w:val="28"/>
              <w:szCs w:val="28"/>
              <w:highlight w:val="none"/>
              <w:lang w:eastAsia="zh-CN"/>
            </w:rPr>
            <w:fldChar w:fldCharType="end"/>
          </w:r>
        </w:p>
      </w:sdtContent>
    </w:sdt>
    <w:p w14:paraId="36FADD8F">
      <w:pPr>
        <w:pStyle w:val="2"/>
        <w:rPr>
          <w:rFonts w:hint="eastAsia"/>
          <w:lang w:eastAsia="zh-CN"/>
        </w:rPr>
        <w:sectPr>
          <w:footerReference r:id="rId4" w:type="default"/>
          <w:pgSz w:w="11900" w:h="16840"/>
          <w:pgMar w:top="1440" w:right="1080" w:bottom="1440" w:left="1080" w:header="0" w:footer="470" w:gutter="0"/>
          <w:pgNumType w:start="1"/>
          <w:cols w:space="720" w:num="1"/>
        </w:sectPr>
      </w:pPr>
    </w:p>
    <w:p w14:paraId="0AF28477">
      <w:pPr>
        <w:spacing w:line="360" w:lineRule="auto"/>
        <w:ind w:firstLine="0" w:firstLineChars="0"/>
        <w:jc w:val="center"/>
        <w:rPr>
          <w:rFonts w:ascii="宋体" w:hAnsi="宋体" w:eastAsia="宋体" w:cs="宋体"/>
          <w:color w:val="auto"/>
          <w:szCs w:val="28"/>
          <w:highlight w:val="none"/>
        </w:rPr>
      </w:pPr>
      <w:r>
        <w:rPr>
          <w:rFonts w:hint="eastAsia" w:ascii="宋体" w:hAnsi="宋体" w:eastAsia="宋体" w:cs="宋体"/>
          <w:b/>
          <w:bCs/>
          <w:color w:val="auto"/>
          <w:sz w:val="36"/>
          <w:szCs w:val="36"/>
          <w:highlight w:val="none"/>
          <w:lang w:eastAsia="zh-CN"/>
        </w:rPr>
        <w:t>大亚湾淡澳河水质提升服务项目资产残余价值转让合同</w:t>
      </w:r>
    </w:p>
    <w:p w14:paraId="63D2AE03">
      <w:pPr>
        <w:pStyle w:val="2"/>
        <w:spacing w:line="360" w:lineRule="auto"/>
        <w:ind w:firstLine="428" w:firstLineChars="200"/>
        <w:rPr>
          <w:rFonts w:hint="eastAsia"/>
          <w:spacing w:val="-13"/>
          <w:sz w:val="24"/>
          <w:szCs w:val="24"/>
          <w:highlight w:val="none"/>
        </w:rPr>
      </w:pPr>
    </w:p>
    <w:p w14:paraId="211255BE">
      <w:pPr>
        <w:pStyle w:val="2"/>
        <w:spacing w:line="360" w:lineRule="auto"/>
        <w:ind w:firstLine="428" w:firstLineChars="200"/>
        <w:rPr>
          <w:sz w:val="24"/>
          <w:szCs w:val="24"/>
          <w:highlight w:val="none"/>
        </w:rPr>
      </w:pPr>
      <w:r>
        <w:rPr>
          <w:rFonts w:hint="eastAsia"/>
          <w:spacing w:val="-13"/>
          <w:sz w:val="24"/>
          <w:szCs w:val="24"/>
          <w:highlight w:val="none"/>
        </w:rPr>
        <w:t>根据《中华人民共和国民法典》</w:t>
      </w:r>
      <w:r>
        <w:rPr>
          <w:rFonts w:hint="eastAsia"/>
          <w:sz w:val="24"/>
          <w:szCs w:val="24"/>
          <w:highlight w:val="none"/>
        </w:rPr>
        <w:t>等相关规定，甲乙双方经协商一致订立本合同。</w:t>
      </w:r>
    </w:p>
    <w:p w14:paraId="57702B52">
      <w:pPr>
        <w:pStyle w:val="2"/>
        <w:tabs>
          <w:tab w:val="left" w:pos="1908"/>
        </w:tabs>
        <w:spacing w:line="360" w:lineRule="auto"/>
        <w:ind w:firstLine="442" w:firstLineChars="200"/>
        <w:outlineLvl w:val="0"/>
        <w:rPr>
          <w:b/>
          <w:bCs/>
          <w:spacing w:val="-10"/>
          <w:sz w:val="24"/>
          <w:szCs w:val="24"/>
          <w:highlight w:val="none"/>
        </w:rPr>
      </w:pPr>
      <w:bookmarkStart w:id="4" w:name="_Toc30105"/>
      <w:bookmarkStart w:id="5" w:name="_Toc15195"/>
      <w:bookmarkStart w:id="6" w:name="_Toc22797"/>
      <w:r>
        <w:rPr>
          <w:rFonts w:hint="eastAsia"/>
          <w:b/>
          <w:bCs/>
          <w:spacing w:val="-10"/>
          <w:sz w:val="24"/>
          <w:szCs w:val="24"/>
          <w:highlight w:val="none"/>
        </w:rPr>
        <w:t>第一条</w:t>
      </w:r>
      <w:r>
        <w:rPr>
          <w:rFonts w:hint="eastAsia"/>
          <w:b/>
          <w:bCs/>
          <w:spacing w:val="-10"/>
          <w:sz w:val="24"/>
          <w:szCs w:val="24"/>
          <w:highlight w:val="none"/>
          <w:lang w:val="en-US" w:eastAsia="zh-CN"/>
        </w:rPr>
        <w:t xml:space="preserve">    项目</w:t>
      </w:r>
      <w:r>
        <w:rPr>
          <w:rFonts w:hint="eastAsia"/>
          <w:b/>
          <w:bCs/>
          <w:spacing w:val="-10"/>
          <w:sz w:val="24"/>
          <w:szCs w:val="24"/>
          <w:highlight w:val="none"/>
        </w:rPr>
        <w:t>基本情况</w:t>
      </w:r>
      <w:bookmarkEnd w:id="4"/>
      <w:bookmarkEnd w:id="5"/>
      <w:bookmarkEnd w:id="6"/>
    </w:p>
    <w:p w14:paraId="053AC5B4">
      <w:pPr>
        <w:pStyle w:val="2"/>
        <w:spacing w:line="360" w:lineRule="auto"/>
        <w:ind w:firstLine="480" w:firstLineChars="200"/>
        <w:rPr>
          <w:sz w:val="24"/>
          <w:szCs w:val="24"/>
          <w:highlight w:val="none"/>
        </w:rPr>
      </w:pPr>
      <w:r>
        <w:rPr>
          <w:rFonts w:hint="eastAsia"/>
          <w:sz w:val="24"/>
          <w:szCs w:val="24"/>
          <w:highlight w:val="none"/>
        </w:rPr>
        <w:t>（一）项目名称：大亚湾淡澳河水质提升服务项目资产残余价值转让</w:t>
      </w:r>
      <w:r>
        <w:rPr>
          <w:rFonts w:hint="eastAsia"/>
          <w:sz w:val="24"/>
          <w:szCs w:val="24"/>
          <w:highlight w:val="none"/>
          <w:lang w:val="en-US" w:eastAsia="zh-CN"/>
        </w:rPr>
        <w:t>项目</w:t>
      </w:r>
      <w:r>
        <w:rPr>
          <w:rFonts w:hint="eastAsia"/>
          <w:sz w:val="24"/>
          <w:szCs w:val="24"/>
          <w:highlight w:val="none"/>
        </w:rPr>
        <w:t>（下称“项目”或“本项目”</w:t>
      </w:r>
      <w:r>
        <w:rPr>
          <w:rFonts w:hint="eastAsia"/>
          <w:sz w:val="24"/>
          <w:szCs w:val="24"/>
          <w:highlight w:val="none"/>
          <w:lang w:eastAsia="zh-CN"/>
        </w:rPr>
        <w:t>）</w:t>
      </w:r>
    </w:p>
    <w:p w14:paraId="34268068">
      <w:pPr>
        <w:pStyle w:val="2"/>
        <w:spacing w:line="360" w:lineRule="auto"/>
        <w:ind w:firstLine="480" w:firstLineChars="200"/>
        <w:rPr>
          <w:rFonts w:hint="eastAsia"/>
          <w:sz w:val="24"/>
          <w:szCs w:val="24"/>
          <w:highlight w:val="none"/>
          <w:lang w:val="en-US" w:eastAsia="zh-CN"/>
        </w:rPr>
      </w:pPr>
      <w:r>
        <w:rPr>
          <w:rFonts w:hint="eastAsia"/>
          <w:sz w:val="24"/>
          <w:szCs w:val="24"/>
          <w:highlight w:val="none"/>
        </w:rPr>
        <w:t>（二）基本情况：大亚湾淡澳河水质提升服务项目位于淡澳河与响水河交汇处南侧的空地上，占地面积5000m</w:t>
      </w:r>
      <w:r>
        <w:rPr>
          <w:rFonts w:hint="eastAsia"/>
          <w:sz w:val="24"/>
          <w:szCs w:val="24"/>
          <w:highlight w:val="none"/>
          <w:vertAlign w:val="superscript"/>
        </w:rPr>
        <w:t>2</w:t>
      </w:r>
      <w:r>
        <w:rPr>
          <w:rFonts w:hint="eastAsia"/>
          <w:sz w:val="24"/>
          <w:szCs w:val="24"/>
          <w:highlight w:val="none"/>
        </w:rPr>
        <w:t>，建筑面积3500m</w:t>
      </w:r>
      <w:r>
        <w:rPr>
          <w:rFonts w:hint="eastAsia"/>
          <w:sz w:val="24"/>
          <w:szCs w:val="24"/>
          <w:highlight w:val="none"/>
          <w:vertAlign w:val="superscript"/>
        </w:rPr>
        <w:t>2</w:t>
      </w:r>
      <w:r>
        <w:rPr>
          <w:rFonts w:hint="eastAsia"/>
          <w:sz w:val="24"/>
          <w:szCs w:val="24"/>
          <w:highlight w:val="none"/>
        </w:rPr>
        <w:t>，设计污水处理规模为60000m</w:t>
      </w:r>
      <w:r>
        <w:rPr>
          <w:rFonts w:hint="eastAsia"/>
          <w:sz w:val="24"/>
          <w:szCs w:val="24"/>
          <w:highlight w:val="none"/>
          <w:vertAlign w:val="superscript"/>
        </w:rPr>
        <w:t>3</w:t>
      </w:r>
      <w:r>
        <w:rPr>
          <w:rFonts w:hint="eastAsia"/>
          <w:sz w:val="24"/>
          <w:szCs w:val="24"/>
          <w:highlight w:val="none"/>
        </w:rPr>
        <w:t>/d，建设内容主要为污水处理设施，不包含污水收集管网建设，进水主要为上游不达标来水和附近管道生活污水，生活污水污染源主要为淡澳河流域居民区和周边的楼盘内居民生活污水。</w:t>
      </w:r>
      <w:r>
        <w:rPr>
          <w:rFonts w:hint="eastAsia"/>
          <w:sz w:val="24"/>
          <w:szCs w:val="24"/>
          <w:highlight w:val="none"/>
          <w:lang w:val="en-US" w:eastAsia="zh-CN"/>
        </w:rPr>
        <w:t>现甲方对项目资产进行处置，所有的资产等设备拆除搬运由乙方负责，其中一部分由甲方自留，剩余部分由乙方处置。资产清单如下：</w:t>
      </w:r>
    </w:p>
    <w:tbl>
      <w:tblPr>
        <w:tblStyle w:val="20"/>
        <w:tblW w:w="97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100"/>
        <w:gridCol w:w="3735"/>
        <w:gridCol w:w="848"/>
        <w:gridCol w:w="840"/>
        <w:gridCol w:w="1491"/>
      </w:tblGrid>
      <w:tr w14:paraId="5E06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E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A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设备名称</w:t>
            </w:r>
          </w:p>
        </w:tc>
        <w:tc>
          <w:tcPr>
            <w:tcW w:w="3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4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规格型号</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0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计量单位</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13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2B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2EF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9B84">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94C1">
            <w:pPr>
              <w:jc w:val="center"/>
              <w:rPr>
                <w:rFonts w:hint="eastAsia" w:ascii="宋体" w:hAnsi="宋体" w:eastAsia="宋体" w:cs="宋体"/>
                <w:i w:val="0"/>
                <w:iCs w:val="0"/>
                <w:color w:val="000000"/>
                <w:sz w:val="22"/>
                <w:szCs w:val="22"/>
                <w:u w:val="none"/>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5244">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BA05">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A8D97">
            <w:pPr>
              <w:jc w:val="center"/>
              <w:rPr>
                <w:rFonts w:hint="eastAsia" w:ascii="宋体" w:hAnsi="宋体" w:eastAsia="宋体" w:cs="宋体"/>
                <w:i w:val="0"/>
                <w:iCs w:val="0"/>
                <w:color w:val="000000"/>
                <w:sz w:val="22"/>
                <w:szCs w:val="22"/>
                <w:u w:val="none"/>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9C0E">
            <w:pPr>
              <w:jc w:val="center"/>
              <w:rPr>
                <w:rFonts w:hint="eastAsia" w:ascii="宋体" w:hAnsi="宋体" w:eastAsia="宋体" w:cs="宋体"/>
                <w:i w:val="0"/>
                <w:iCs w:val="0"/>
                <w:color w:val="000000"/>
                <w:sz w:val="22"/>
                <w:szCs w:val="22"/>
                <w:u w:val="none"/>
              </w:rPr>
            </w:pPr>
          </w:p>
        </w:tc>
      </w:tr>
      <w:tr w14:paraId="3EA6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A1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w:t>
            </w:r>
          </w:p>
        </w:tc>
        <w:tc>
          <w:tcPr>
            <w:tcW w:w="90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482C1">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xml:space="preserve">    进水系统</w:t>
            </w:r>
          </w:p>
        </w:tc>
      </w:tr>
      <w:tr w14:paraId="7E3A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8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一体化泵站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WQ/YT-3800-2500-3（含控制系统）</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5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9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1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51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F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A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一体化泵站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3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WQ/YT-3800-1250-3（含控制系统）</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F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F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70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5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C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行吊</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0EDA">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B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4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295E">
            <w:pPr>
              <w:jc w:val="center"/>
              <w:rPr>
                <w:rFonts w:hint="eastAsia" w:ascii="宋体" w:hAnsi="宋体" w:eastAsia="宋体" w:cs="宋体"/>
                <w:i w:val="0"/>
                <w:iCs w:val="0"/>
                <w:color w:val="000000"/>
                <w:sz w:val="20"/>
                <w:szCs w:val="20"/>
                <w:u w:val="none"/>
              </w:rPr>
            </w:pPr>
          </w:p>
        </w:tc>
      </w:tr>
      <w:tr w14:paraId="5DA6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75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w:t>
            </w:r>
          </w:p>
        </w:tc>
        <w:tc>
          <w:tcPr>
            <w:tcW w:w="2100" w:type="dxa"/>
            <w:tcBorders>
              <w:top w:val="single" w:color="000000" w:sz="4" w:space="0"/>
              <w:left w:val="single" w:color="000000" w:sz="4" w:space="0"/>
              <w:bottom w:val="single" w:color="000000" w:sz="4" w:space="0"/>
              <w:right w:val="nil"/>
            </w:tcBorders>
            <w:shd w:val="clear" w:color="auto" w:fill="auto"/>
            <w:vAlign w:val="center"/>
          </w:tcPr>
          <w:p w14:paraId="52040E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预处理系统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8D77">
            <w:pPr>
              <w:rPr>
                <w:rFonts w:hint="eastAsia" w:ascii="宋体" w:hAnsi="宋体" w:eastAsia="宋体" w:cs="宋体"/>
                <w:b/>
                <w:bCs/>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433">
            <w:pPr>
              <w:rPr>
                <w:rFonts w:hint="eastAsia" w:ascii="宋体" w:hAnsi="宋体" w:eastAsia="宋体" w:cs="宋体"/>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7A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w:t>
            </w:r>
          </w:p>
        </w:tc>
        <w:tc>
          <w:tcPr>
            <w:tcW w:w="1491" w:type="dxa"/>
            <w:tcBorders>
              <w:top w:val="single" w:color="000000" w:sz="4" w:space="0"/>
              <w:left w:val="nil"/>
              <w:bottom w:val="single" w:color="000000" w:sz="4" w:space="0"/>
              <w:right w:val="single" w:color="000000" w:sz="4" w:space="0"/>
            </w:tcBorders>
            <w:shd w:val="clear" w:color="auto" w:fill="auto"/>
            <w:vAlign w:val="center"/>
          </w:tcPr>
          <w:p w14:paraId="0CD75006">
            <w:pPr>
              <w:rPr>
                <w:rFonts w:hint="eastAsia" w:ascii="宋体" w:hAnsi="宋体" w:eastAsia="宋体" w:cs="宋体"/>
                <w:b/>
                <w:bCs/>
                <w:i w:val="0"/>
                <w:iCs w:val="0"/>
                <w:color w:val="000000"/>
                <w:sz w:val="20"/>
                <w:szCs w:val="20"/>
                <w:u w:val="none"/>
              </w:rPr>
            </w:pPr>
          </w:p>
        </w:tc>
      </w:tr>
      <w:tr w14:paraId="35FB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5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进水流量计</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0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DN800,精密等级2%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58CB">
            <w:pPr>
              <w:jc w:val="center"/>
              <w:rPr>
                <w:rFonts w:hint="eastAsia" w:ascii="宋体" w:hAnsi="宋体" w:eastAsia="宋体" w:cs="宋体"/>
                <w:i w:val="0"/>
                <w:iCs w:val="0"/>
                <w:color w:val="000000"/>
                <w:sz w:val="20"/>
                <w:szCs w:val="20"/>
                <w:u w:val="none"/>
              </w:rPr>
            </w:pPr>
          </w:p>
        </w:tc>
      </w:tr>
      <w:tr w14:paraId="5910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7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进水控制阀门</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3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DN800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D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56EF">
            <w:pPr>
              <w:jc w:val="center"/>
              <w:rPr>
                <w:rFonts w:hint="eastAsia" w:ascii="宋体" w:hAnsi="宋体" w:eastAsia="宋体" w:cs="宋体"/>
                <w:i w:val="0"/>
                <w:iCs w:val="0"/>
                <w:color w:val="000000"/>
                <w:sz w:val="20"/>
                <w:szCs w:val="20"/>
                <w:u w:val="none"/>
              </w:rPr>
            </w:pPr>
          </w:p>
        </w:tc>
      </w:tr>
      <w:tr w14:paraId="01C8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7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8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转股格栅</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E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ZG1800，栅距2mm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A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5680">
            <w:pPr>
              <w:jc w:val="center"/>
              <w:rPr>
                <w:rFonts w:hint="eastAsia" w:ascii="宋体" w:hAnsi="宋体" w:eastAsia="宋体" w:cs="宋体"/>
                <w:i w:val="0"/>
                <w:iCs w:val="0"/>
                <w:color w:val="000000"/>
                <w:sz w:val="20"/>
                <w:szCs w:val="20"/>
                <w:u w:val="none"/>
              </w:rPr>
            </w:pPr>
          </w:p>
        </w:tc>
      </w:tr>
      <w:tr w14:paraId="47A3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E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生活污水进水流量计</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DN800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0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2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7F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河道水泵站至一体化设备的管道系统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2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DN800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5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F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99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2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4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生活污水泵站至一体化设备的支管管道系统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DN600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9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C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A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AB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2D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D2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磁混凝系统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8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处理量60000m³/d</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1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507A">
            <w:pPr>
              <w:jc w:val="center"/>
              <w:rPr>
                <w:rFonts w:hint="eastAsia" w:ascii="宋体" w:hAnsi="宋体" w:eastAsia="宋体" w:cs="宋体"/>
                <w:i w:val="0"/>
                <w:iCs w:val="0"/>
                <w:color w:val="000000"/>
                <w:sz w:val="20"/>
                <w:szCs w:val="20"/>
                <w:u w:val="none"/>
              </w:rPr>
            </w:pPr>
          </w:p>
        </w:tc>
      </w:tr>
      <w:tr w14:paraId="0123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D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一体化反应装置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7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13.5m*3.3m*3.3m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D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8426">
            <w:pPr>
              <w:jc w:val="center"/>
              <w:rPr>
                <w:rFonts w:hint="eastAsia" w:ascii="宋体" w:hAnsi="宋体" w:eastAsia="宋体" w:cs="宋体"/>
                <w:i w:val="0"/>
                <w:iCs w:val="0"/>
                <w:color w:val="000000"/>
                <w:sz w:val="20"/>
                <w:szCs w:val="20"/>
                <w:u w:val="none"/>
              </w:rPr>
            </w:pPr>
          </w:p>
        </w:tc>
      </w:tr>
      <w:tr w14:paraId="5ECC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1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一体化沉淀装置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0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15.0m*3.3m*3.3m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C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0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222E">
            <w:pPr>
              <w:jc w:val="center"/>
              <w:rPr>
                <w:rFonts w:hint="eastAsia" w:ascii="宋体" w:hAnsi="宋体" w:eastAsia="宋体" w:cs="宋体"/>
                <w:i w:val="0"/>
                <w:iCs w:val="0"/>
                <w:color w:val="000000"/>
                <w:sz w:val="20"/>
                <w:szCs w:val="20"/>
                <w:u w:val="none"/>
              </w:rPr>
            </w:pPr>
          </w:p>
        </w:tc>
      </w:tr>
      <w:tr w14:paraId="731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7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磁种回收系统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7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精密磁分离机，磁种回收率可达99.4%，磁选区磁场强度4000GS；主电机功率N=3.0KW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0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B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C384">
            <w:pPr>
              <w:jc w:val="center"/>
              <w:rPr>
                <w:rFonts w:hint="eastAsia" w:ascii="宋体" w:hAnsi="宋体" w:eastAsia="宋体" w:cs="宋体"/>
                <w:i w:val="0"/>
                <w:iCs w:val="0"/>
                <w:color w:val="000000"/>
                <w:sz w:val="20"/>
                <w:szCs w:val="20"/>
                <w:u w:val="none"/>
              </w:rPr>
            </w:pPr>
          </w:p>
        </w:tc>
      </w:tr>
      <w:tr w14:paraId="607E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2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4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磁粉提升泵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C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Q=45m³/h,H=15m，N=4.0kW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E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7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9837">
            <w:pPr>
              <w:jc w:val="center"/>
              <w:rPr>
                <w:rFonts w:hint="eastAsia" w:ascii="宋体" w:hAnsi="宋体" w:eastAsia="宋体" w:cs="宋体"/>
                <w:i w:val="0"/>
                <w:iCs w:val="0"/>
                <w:color w:val="000000"/>
                <w:sz w:val="20"/>
                <w:szCs w:val="20"/>
                <w:u w:val="none"/>
              </w:rPr>
            </w:pPr>
          </w:p>
        </w:tc>
      </w:tr>
      <w:tr w14:paraId="53BA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8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物料提升泵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4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Q=300m³/h,H=12m，N=15kW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9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D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8E7E">
            <w:pPr>
              <w:jc w:val="center"/>
              <w:rPr>
                <w:rFonts w:hint="eastAsia" w:ascii="宋体" w:hAnsi="宋体" w:eastAsia="宋体" w:cs="宋体"/>
                <w:i w:val="0"/>
                <w:iCs w:val="0"/>
                <w:color w:val="000000"/>
                <w:sz w:val="20"/>
                <w:szCs w:val="20"/>
                <w:u w:val="none"/>
              </w:rPr>
            </w:pPr>
          </w:p>
        </w:tc>
      </w:tr>
      <w:tr w14:paraId="37AE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6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F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混凝搅拌装置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B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混合搅拌机1台5.5kw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3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8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0569">
            <w:pPr>
              <w:jc w:val="center"/>
              <w:rPr>
                <w:rFonts w:hint="eastAsia" w:ascii="宋体" w:hAnsi="宋体" w:eastAsia="宋体" w:cs="宋体"/>
                <w:i w:val="0"/>
                <w:iCs w:val="0"/>
                <w:color w:val="000000"/>
                <w:sz w:val="20"/>
                <w:szCs w:val="20"/>
                <w:u w:val="none"/>
              </w:rPr>
            </w:pPr>
          </w:p>
        </w:tc>
      </w:tr>
      <w:tr w14:paraId="47D2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A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C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磁粉搅拌装置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D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混合搅拌机1台5.5kw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5DD7">
            <w:pPr>
              <w:jc w:val="center"/>
              <w:rPr>
                <w:rFonts w:hint="eastAsia" w:ascii="宋体" w:hAnsi="宋体" w:eastAsia="宋体" w:cs="宋体"/>
                <w:i w:val="0"/>
                <w:iCs w:val="0"/>
                <w:color w:val="000000"/>
                <w:sz w:val="20"/>
                <w:szCs w:val="20"/>
                <w:u w:val="none"/>
              </w:rPr>
            </w:pPr>
          </w:p>
        </w:tc>
      </w:tr>
      <w:tr w14:paraId="5480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C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絮凝搅拌装置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B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絮凝搅拌机1台5.5kw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7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5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255C">
            <w:pPr>
              <w:jc w:val="center"/>
              <w:rPr>
                <w:rFonts w:hint="eastAsia" w:ascii="宋体" w:hAnsi="宋体" w:eastAsia="宋体" w:cs="宋体"/>
                <w:i w:val="0"/>
                <w:iCs w:val="0"/>
                <w:color w:val="000000"/>
                <w:sz w:val="20"/>
                <w:szCs w:val="20"/>
                <w:u w:val="none"/>
              </w:rPr>
            </w:pPr>
          </w:p>
        </w:tc>
      </w:tr>
      <w:tr w14:paraId="44A4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5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C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刮泥机</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C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不锈钢链条式</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B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3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02C9">
            <w:pPr>
              <w:jc w:val="center"/>
              <w:rPr>
                <w:rFonts w:hint="eastAsia" w:ascii="宋体" w:hAnsi="宋体" w:eastAsia="宋体" w:cs="宋体"/>
                <w:i w:val="0"/>
                <w:iCs w:val="0"/>
                <w:color w:val="000000"/>
                <w:sz w:val="20"/>
                <w:szCs w:val="20"/>
                <w:u w:val="none"/>
              </w:rPr>
            </w:pPr>
          </w:p>
        </w:tc>
      </w:tr>
      <w:tr w14:paraId="543D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0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刮泥机</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8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加大沉淀池刮泥机的刮板</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A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8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A1B0">
            <w:pPr>
              <w:jc w:val="center"/>
              <w:rPr>
                <w:rFonts w:hint="eastAsia" w:ascii="宋体" w:hAnsi="宋体" w:eastAsia="宋体" w:cs="宋体"/>
                <w:i w:val="0"/>
                <w:iCs w:val="0"/>
                <w:color w:val="000000"/>
                <w:sz w:val="20"/>
                <w:szCs w:val="20"/>
                <w:u w:val="none"/>
              </w:rPr>
            </w:pPr>
          </w:p>
        </w:tc>
      </w:tr>
      <w:tr w14:paraId="23CF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B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3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斜管填料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7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Φ80，厚度大于0.45mm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0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0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960C">
            <w:pPr>
              <w:jc w:val="center"/>
              <w:rPr>
                <w:rFonts w:hint="eastAsia" w:ascii="宋体" w:hAnsi="宋体" w:eastAsia="宋体" w:cs="宋体"/>
                <w:i w:val="0"/>
                <w:iCs w:val="0"/>
                <w:color w:val="000000"/>
                <w:sz w:val="20"/>
                <w:szCs w:val="20"/>
                <w:u w:val="none"/>
              </w:rPr>
            </w:pPr>
          </w:p>
        </w:tc>
      </w:tr>
      <w:tr w14:paraId="0CEA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F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3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混凝加药装置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8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计量泵：Q=115L/h，7bar,8台（4用4备）；加药箱15000L，3台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9A19">
            <w:pPr>
              <w:jc w:val="center"/>
              <w:rPr>
                <w:rFonts w:hint="eastAsia" w:ascii="宋体" w:hAnsi="宋体" w:eastAsia="宋体" w:cs="宋体"/>
                <w:i w:val="0"/>
                <w:iCs w:val="0"/>
                <w:color w:val="000000"/>
                <w:sz w:val="20"/>
                <w:szCs w:val="20"/>
                <w:u w:val="none"/>
              </w:rPr>
            </w:pPr>
          </w:p>
        </w:tc>
      </w:tr>
      <w:tr w14:paraId="1F83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絮凝加药装置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6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加药泵：Q=2m³/h，6bar,4台（2用2备）；自动配药系统</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8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F832">
            <w:pPr>
              <w:jc w:val="center"/>
              <w:rPr>
                <w:rFonts w:hint="eastAsia" w:ascii="宋体" w:hAnsi="宋体" w:eastAsia="宋体" w:cs="宋体"/>
                <w:i w:val="0"/>
                <w:iCs w:val="0"/>
                <w:color w:val="000000"/>
                <w:sz w:val="20"/>
                <w:szCs w:val="20"/>
                <w:u w:val="none"/>
              </w:rPr>
            </w:pPr>
          </w:p>
        </w:tc>
      </w:tr>
      <w:tr w14:paraId="4D61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7E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A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进水系统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A630">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C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4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E334">
            <w:pPr>
              <w:jc w:val="center"/>
              <w:rPr>
                <w:rFonts w:hint="eastAsia" w:ascii="宋体" w:hAnsi="宋体" w:eastAsia="宋体" w:cs="宋体"/>
                <w:i w:val="0"/>
                <w:iCs w:val="0"/>
                <w:color w:val="000000"/>
                <w:sz w:val="20"/>
                <w:szCs w:val="20"/>
                <w:u w:val="none"/>
              </w:rPr>
            </w:pPr>
          </w:p>
        </w:tc>
      </w:tr>
      <w:tr w14:paraId="51AF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AB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E8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出水系统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60C6">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E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A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CD27">
            <w:pPr>
              <w:jc w:val="center"/>
              <w:rPr>
                <w:rFonts w:hint="eastAsia" w:ascii="宋体" w:hAnsi="宋体" w:eastAsia="宋体" w:cs="宋体"/>
                <w:i w:val="0"/>
                <w:iCs w:val="0"/>
                <w:color w:val="000000"/>
                <w:sz w:val="20"/>
                <w:szCs w:val="20"/>
                <w:u w:val="none"/>
              </w:rPr>
            </w:pPr>
          </w:p>
        </w:tc>
      </w:tr>
      <w:tr w14:paraId="792E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C9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6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排泥系统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63F">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4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1104">
            <w:pPr>
              <w:jc w:val="center"/>
              <w:rPr>
                <w:rFonts w:hint="eastAsia" w:ascii="宋体" w:hAnsi="宋体" w:eastAsia="宋体" w:cs="宋体"/>
                <w:i w:val="0"/>
                <w:iCs w:val="0"/>
                <w:color w:val="000000"/>
                <w:sz w:val="20"/>
                <w:szCs w:val="20"/>
                <w:u w:val="none"/>
              </w:rPr>
            </w:pPr>
          </w:p>
        </w:tc>
      </w:tr>
      <w:tr w14:paraId="1E51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5C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DD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BAF系统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处理量60000m³/d</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7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CE02">
            <w:pPr>
              <w:jc w:val="center"/>
              <w:rPr>
                <w:rFonts w:hint="eastAsia" w:ascii="宋体" w:hAnsi="宋体" w:eastAsia="宋体" w:cs="宋体"/>
                <w:i w:val="0"/>
                <w:iCs w:val="0"/>
                <w:color w:val="000000"/>
                <w:sz w:val="20"/>
                <w:szCs w:val="20"/>
                <w:u w:val="none"/>
              </w:rPr>
            </w:pPr>
          </w:p>
        </w:tc>
      </w:tr>
      <w:tr w14:paraId="0BE6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4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A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主池体</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B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1"/>
                <w:rFonts w:eastAsia="宋体"/>
                <w:snapToGrid w:val="0"/>
                <w:color w:val="000000"/>
                <w:lang w:val="en-US" w:eastAsia="zh-CN" w:bidi="ar"/>
              </w:rPr>
              <w:t>Φ</w:t>
            </w:r>
            <w:r>
              <w:rPr>
                <w:rFonts w:hint="eastAsia" w:ascii="宋体" w:hAnsi="宋体" w:eastAsia="宋体" w:cs="宋体"/>
                <w:i w:val="0"/>
                <w:iCs w:val="0"/>
                <w:snapToGrid w:val="0"/>
                <w:color w:val="000000"/>
                <w:kern w:val="0"/>
                <w:sz w:val="20"/>
                <w:szCs w:val="20"/>
                <w:u w:val="none"/>
                <w:lang w:val="en-US" w:eastAsia="zh-CN" w:bidi="ar"/>
              </w:rPr>
              <w:t>4200mm</w:t>
            </w:r>
            <w:r>
              <w:rPr>
                <w:rFonts w:ascii="Segoe UI Symbol" w:hAnsi="Segoe UI Symbol" w:eastAsia="Segoe UI Symbol" w:cs="Segoe UI Symbol"/>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6000mm，壁厚约10mm，材质为环氧碳钢</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5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1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E178">
            <w:pPr>
              <w:jc w:val="center"/>
              <w:rPr>
                <w:rFonts w:hint="eastAsia" w:ascii="宋体" w:hAnsi="宋体" w:eastAsia="宋体" w:cs="宋体"/>
                <w:i w:val="0"/>
                <w:iCs w:val="0"/>
                <w:color w:val="000000"/>
                <w:sz w:val="20"/>
                <w:szCs w:val="20"/>
                <w:u w:val="none"/>
              </w:rPr>
            </w:pPr>
          </w:p>
        </w:tc>
      </w:tr>
      <w:tr w14:paraId="54CD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8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空悬浮曝气鼓风机（进口）</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Q=94m³/min,70Kpa,P=123.75kw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6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7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委托人留用</w:t>
            </w:r>
          </w:p>
        </w:tc>
      </w:tr>
      <w:tr w14:paraId="644D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2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空悬浮反洗风机（进口）</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Q=47m³/min,70Kpa,P=61.87kw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5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E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E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委托人留用</w:t>
            </w:r>
          </w:p>
        </w:tc>
      </w:tr>
      <w:tr w14:paraId="3452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反洗水泵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5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Q=300m³/h,H=12m，N=15kW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9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7C7B">
            <w:pPr>
              <w:jc w:val="center"/>
              <w:rPr>
                <w:rFonts w:hint="eastAsia" w:ascii="宋体" w:hAnsi="宋体" w:eastAsia="宋体" w:cs="宋体"/>
                <w:i w:val="0"/>
                <w:iCs w:val="0"/>
                <w:color w:val="000000"/>
                <w:sz w:val="20"/>
                <w:szCs w:val="20"/>
                <w:u w:val="none"/>
              </w:rPr>
            </w:pPr>
          </w:p>
        </w:tc>
      </w:tr>
      <w:tr w14:paraId="76C6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9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1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自动阀组</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6995">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2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6FF2">
            <w:pPr>
              <w:jc w:val="center"/>
              <w:rPr>
                <w:rFonts w:hint="eastAsia" w:ascii="宋体" w:hAnsi="宋体" w:eastAsia="宋体" w:cs="宋体"/>
                <w:i w:val="0"/>
                <w:iCs w:val="0"/>
                <w:color w:val="000000"/>
                <w:sz w:val="20"/>
                <w:szCs w:val="20"/>
                <w:u w:val="none"/>
              </w:rPr>
            </w:pPr>
          </w:p>
        </w:tc>
      </w:tr>
      <w:tr w14:paraId="45A3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7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空压机</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B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C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E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AEDD">
            <w:pPr>
              <w:jc w:val="center"/>
              <w:rPr>
                <w:rFonts w:hint="eastAsia" w:ascii="宋体" w:hAnsi="宋体" w:eastAsia="宋体" w:cs="宋体"/>
                <w:i w:val="0"/>
                <w:iCs w:val="0"/>
                <w:color w:val="000000"/>
                <w:sz w:val="20"/>
                <w:szCs w:val="20"/>
                <w:u w:val="none"/>
              </w:rPr>
            </w:pPr>
          </w:p>
        </w:tc>
      </w:tr>
      <w:tr w14:paraId="1D53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D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7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冷冻式干燥机</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8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BL0010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F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F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5271">
            <w:pPr>
              <w:jc w:val="center"/>
              <w:rPr>
                <w:rFonts w:hint="eastAsia" w:ascii="宋体" w:hAnsi="宋体" w:eastAsia="宋体" w:cs="宋体"/>
                <w:i w:val="0"/>
                <w:iCs w:val="0"/>
                <w:color w:val="000000"/>
                <w:sz w:val="20"/>
                <w:szCs w:val="20"/>
                <w:u w:val="none"/>
              </w:rPr>
            </w:pPr>
          </w:p>
        </w:tc>
      </w:tr>
      <w:tr w14:paraId="320F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6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B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储气罐</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1.0m³</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F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7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A821">
            <w:pPr>
              <w:jc w:val="center"/>
              <w:rPr>
                <w:rFonts w:hint="eastAsia" w:ascii="宋体" w:hAnsi="宋体" w:eastAsia="宋体" w:cs="宋体"/>
                <w:i w:val="0"/>
                <w:iCs w:val="0"/>
                <w:color w:val="000000"/>
                <w:sz w:val="20"/>
                <w:szCs w:val="20"/>
                <w:u w:val="none"/>
              </w:rPr>
            </w:pPr>
          </w:p>
        </w:tc>
      </w:tr>
      <w:tr w14:paraId="0890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A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9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曝气系统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曝气管道、单孔膜曝气器等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A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6087">
            <w:pPr>
              <w:jc w:val="center"/>
              <w:rPr>
                <w:rFonts w:hint="eastAsia" w:ascii="宋体" w:hAnsi="宋体" w:eastAsia="宋体" w:cs="宋体"/>
                <w:i w:val="0"/>
                <w:iCs w:val="0"/>
                <w:color w:val="000000"/>
                <w:sz w:val="20"/>
                <w:szCs w:val="20"/>
                <w:u w:val="none"/>
              </w:rPr>
            </w:pPr>
          </w:p>
        </w:tc>
      </w:tr>
      <w:tr w14:paraId="39A0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5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E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布水系统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5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布水管道等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4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9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42A4">
            <w:pPr>
              <w:jc w:val="center"/>
              <w:rPr>
                <w:rFonts w:hint="eastAsia" w:ascii="宋体" w:hAnsi="宋体" w:eastAsia="宋体" w:cs="宋体"/>
                <w:i w:val="0"/>
                <w:iCs w:val="0"/>
                <w:color w:val="000000"/>
                <w:sz w:val="20"/>
                <w:szCs w:val="20"/>
                <w:u w:val="none"/>
              </w:rPr>
            </w:pPr>
          </w:p>
        </w:tc>
      </w:tr>
      <w:tr w14:paraId="689A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D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3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反洗系统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6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反洗管道，长柄滤头等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8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E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C57D">
            <w:pPr>
              <w:jc w:val="center"/>
              <w:rPr>
                <w:rFonts w:hint="eastAsia" w:ascii="宋体" w:hAnsi="宋体" w:eastAsia="宋体" w:cs="宋体"/>
                <w:i w:val="0"/>
                <w:iCs w:val="0"/>
                <w:color w:val="000000"/>
                <w:sz w:val="20"/>
                <w:szCs w:val="20"/>
                <w:u w:val="none"/>
              </w:rPr>
            </w:pPr>
          </w:p>
        </w:tc>
      </w:tr>
      <w:tr w14:paraId="058E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C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0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高效滤料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粒径：5~8mm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2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9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E905">
            <w:pPr>
              <w:jc w:val="center"/>
              <w:rPr>
                <w:rFonts w:hint="eastAsia" w:ascii="宋体" w:hAnsi="宋体" w:eastAsia="宋体" w:cs="宋体"/>
                <w:i w:val="0"/>
                <w:iCs w:val="0"/>
                <w:color w:val="000000"/>
                <w:sz w:val="20"/>
                <w:szCs w:val="20"/>
                <w:u w:val="none"/>
              </w:rPr>
            </w:pPr>
          </w:p>
        </w:tc>
      </w:tr>
      <w:tr w14:paraId="145C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A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C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管材、管件</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与设备配套</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3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3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A22E">
            <w:pPr>
              <w:jc w:val="center"/>
              <w:rPr>
                <w:rFonts w:hint="eastAsia" w:ascii="宋体" w:hAnsi="宋体" w:eastAsia="宋体" w:cs="宋体"/>
                <w:i w:val="0"/>
                <w:iCs w:val="0"/>
                <w:color w:val="000000"/>
                <w:sz w:val="20"/>
                <w:szCs w:val="20"/>
                <w:u w:val="none"/>
              </w:rPr>
            </w:pPr>
          </w:p>
        </w:tc>
      </w:tr>
      <w:tr w14:paraId="690B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F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1E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出水系统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8645">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6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A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40AE">
            <w:pPr>
              <w:jc w:val="center"/>
              <w:rPr>
                <w:rFonts w:hint="eastAsia" w:ascii="宋体" w:hAnsi="宋体" w:eastAsia="宋体" w:cs="宋体"/>
                <w:i w:val="0"/>
                <w:iCs w:val="0"/>
                <w:color w:val="000000"/>
                <w:sz w:val="20"/>
                <w:szCs w:val="20"/>
                <w:u w:val="none"/>
              </w:rPr>
            </w:pPr>
          </w:p>
        </w:tc>
      </w:tr>
      <w:tr w14:paraId="40AB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C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清水池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1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1"/>
                <w:rFonts w:eastAsia="宋体"/>
                <w:snapToGrid w:val="0"/>
                <w:color w:val="000000"/>
                <w:lang w:val="en-US" w:eastAsia="zh-CN" w:bidi="ar"/>
              </w:rPr>
              <w:t>Φ</w:t>
            </w:r>
            <w:r>
              <w:rPr>
                <w:rFonts w:hint="eastAsia" w:ascii="宋体" w:hAnsi="宋体" w:eastAsia="宋体" w:cs="宋体"/>
                <w:i w:val="0"/>
                <w:iCs w:val="0"/>
                <w:snapToGrid w:val="0"/>
                <w:color w:val="000000"/>
                <w:kern w:val="0"/>
                <w:sz w:val="20"/>
                <w:szCs w:val="20"/>
                <w:u w:val="none"/>
                <w:lang w:val="en-US" w:eastAsia="zh-CN" w:bidi="ar"/>
              </w:rPr>
              <w:t>4200mm</w:t>
            </w:r>
            <w:r>
              <w:rPr>
                <w:rStyle w:val="41"/>
                <w:rFonts w:eastAsia="宋体"/>
                <w:snapToGrid w:val="0"/>
                <w:color w:val="000000"/>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6000mm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8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3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7A4A">
            <w:pPr>
              <w:jc w:val="center"/>
              <w:rPr>
                <w:rFonts w:hint="eastAsia" w:ascii="宋体" w:hAnsi="宋体" w:eastAsia="宋体" w:cs="宋体"/>
                <w:i w:val="0"/>
                <w:iCs w:val="0"/>
                <w:color w:val="000000"/>
                <w:sz w:val="20"/>
                <w:szCs w:val="20"/>
                <w:u w:val="none"/>
              </w:rPr>
            </w:pPr>
          </w:p>
        </w:tc>
      </w:tr>
      <w:tr w14:paraId="6D51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1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0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出水电磁流量计</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D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DN800,精密等级2%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A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54C9">
            <w:pPr>
              <w:jc w:val="center"/>
              <w:rPr>
                <w:rFonts w:hint="eastAsia" w:ascii="宋体" w:hAnsi="宋体" w:eastAsia="宋体" w:cs="宋体"/>
                <w:i w:val="0"/>
                <w:iCs w:val="0"/>
                <w:color w:val="000000"/>
                <w:sz w:val="20"/>
                <w:szCs w:val="20"/>
                <w:u w:val="none"/>
              </w:rPr>
            </w:pPr>
          </w:p>
        </w:tc>
      </w:tr>
      <w:tr w14:paraId="3C2D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5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7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污水池</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F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1"/>
                <w:rFonts w:eastAsia="宋体"/>
                <w:snapToGrid w:val="0"/>
                <w:color w:val="000000"/>
                <w:lang w:val="en-US" w:eastAsia="zh-CN" w:bidi="ar"/>
              </w:rPr>
              <w:t>Φ</w:t>
            </w:r>
            <w:r>
              <w:rPr>
                <w:rFonts w:hint="eastAsia" w:ascii="宋体" w:hAnsi="宋体" w:eastAsia="宋体" w:cs="宋体"/>
                <w:i w:val="0"/>
                <w:iCs w:val="0"/>
                <w:snapToGrid w:val="0"/>
                <w:color w:val="000000"/>
                <w:kern w:val="0"/>
                <w:sz w:val="20"/>
                <w:szCs w:val="20"/>
                <w:u w:val="none"/>
                <w:lang w:val="en-US" w:eastAsia="zh-CN" w:bidi="ar"/>
              </w:rPr>
              <w:t>4200mm</w:t>
            </w:r>
            <w:r>
              <w:rPr>
                <w:rStyle w:val="41"/>
                <w:rFonts w:eastAsia="宋体"/>
                <w:snapToGrid w:val="0"/>
                <w:color w:val="000000"/>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6000mm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9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9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DAED">
            <w:pPr>
              <w:jc w:val="center"/>
              <w:rPr>
                <w:rFonts w:hint="eastAsia" w:ascii="宋体" w:hAnsi="宋体" w:eastAsia="宋体" w:cs="宋体"/>
                <w:i w:val="0"/>
                <w:iCs w:val="0"/>
                <w:color w:val="000000"/>
                <w:sz w:val="20"/>
                <w:szCs w:val="20"/>
                <w:u w:val="none"/>
              </w:rPr>
            </w:pPr>
          </w:p>
        </w:tc>
      </w:tr>
      <w:tr w14:paraId="0AFD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5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污水提升泵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Q=300m³/h,H=12m，N=15kW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D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F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委托人留用</w:t>
            </w:r>
          </w:p>
        </w:tc>
      </w:tr>
      <w:tr w14:paraId="1871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A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8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次氯酸钠加药系统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5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其中：计量泵：Q=60L/min，2台；储药箱15000L，2台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6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7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81FD">
            <w:pPr>
              <w:jc w:val="center"/>
              <w:rPr>
                <w:rFonts w:hint="eastAsia" w:ascii="宋体" w:hAnsi="宋体" w:eastAsia="宋体" w:cs="宋体"/>
                <w:i w:val="0"/>
                <w:iCs w:val="0"/>
                <w:color w:val="000000"/>
                <w:sz w:val="20"/>
                <w:szCs w:val="20"/>
                <w:u w:val="none"/>
              </w:rPr>
            </w:pPr>
          </w:p>
        </w:tc>
      </w:tr>
      <w:tr w14:paraId="703C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0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回用水泵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C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A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C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4C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1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C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回用水管道</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1F5">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D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C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F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53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15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65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污泥脱水系统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4A3D">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F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0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41C1">
            <w:pPr>
              <w:jc w:val="center"/>
              <w:rPr>
                <w:rFonts w:hint="eastAsia" w:ascii="宋体" w:hAnsi="宋体" w:eastAsia="宋体" w:cs="宋体"/>
                <w:i w:val="0"/>
                <w:iCs w:val="0"/>
                <w:color w:val="000000"/>
                <w:sz w:val="20"/>
                <w:szCs w:val="20"/>
                <w:u w:val="none"/>
              </w:rPr>
            </w:pPr>
          </w:p>
        </w:tc>
      </w:tr>
      <w:tr w14:paraId="0B5E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A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B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叠螺脱水机</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5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处理量：240-480kg/h</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9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9E70">
            <w:pPr>
              <w:jc w:val="center"/>
              <w:rPr>
                <w:rFonts w:hint="eastAsia" w:ascii="宋体" w:hAnsi="宋体" w:eastAsia="宋体" w:cs="宋体"/>
                <w:i w:val="0"/>
                <w:iCs w:val="0"/>
                <w:color w:val="000000"/>
                <w:sz w:val="20"/>
                <w:szCs w:val="20"/>
                <w:u w:val="none"/>
              </w:rPr>
            </w:pPr>
          </w:p>
        </w:tc>
      </w:tr>
      <w:tr w14:paraId="7973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A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5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污泥泵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C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Q=25m³/h,H=10m，N=1.5kW</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F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3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B143">
            <w:pPr>
              <w:jc w:val="center"/>
              <w:rPr>
                <w:rFonts w:hint="eastAsia" w:ascii="宋体" w:hAnsi="宋体" w:eastAsia="宋体" w:cs="宋体"/>
                <w:i w:val="0"/>
                <w:iCs w:val="0"/>
                <w:color w:val="000000"/>
                <w:sz w:val="20"/>
                <w:szCs w:val="20"/>
                <w:u w:val="none"/>
              </w:rPr>
            </w:pPr>
          </w:p>
        </w:tc>
      </w:tr>
      <w:tr w14:paraId="7005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0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PAM（阳）加药装置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E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加药泵：Q=2m³/h，4bar,2台；自动配药系统</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3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5FC0">
            <w:pPr>
              <w:jc w:val="center"/>
              <w:rPr>
                <w:rFonts w:hint="eastAsia" w:ascii="宋体" w:hAnsi="宋体" w:eastAsia="宋体" w:cs="宋体"/>
                <w:i w:val="0"/>
                <w:iCs w:val="0"/>
                <w:color w:val="000000"/>
                <w:sz w:val="20"/>
                <w:szCs w:val="20"/>
                <w:u w:val="none"/>
              </w:rPr>
            </w:pPr>
          </w:p>
        </w:tc>
      </w:tr>
      <w:tr w14:paraId="51B2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8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2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储泥装置</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4.0m*3m*3.3m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B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1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A367">
            <w:pPr>
              <w:jc w:val="center"/>
              <w:rPr>
                <w:rFonts w:hint="eastAsia" w:ascii="宋体" w:hAnsi="宋体" w:eastAsia="宋体" w:cs="宋体"/>
                <w:i w:val="0"/>
                <w:iCs w:val="0"/>
                <w:color w:val="000000"/>
                <w:sz w:val="20"/>
                <w:szCs w:val="20"/>
                <w:u w:val="none"/>
              </w:rPr>
            </w:pPr>
          </w:p>
        </w:tc>
      </w:tr>
      <w:tr w14:paraId="05B6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7C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E8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管理系统</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BB8A">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5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2CDF">
            <w:pPr>
              <w:jc w:val="center"/>
              <w:rPr>
                <w:rFonts w:hint="eastAsia" w:ascii="宋体" w:hAnsi="宋体" w:eastAsia="宋体" w:cs="宋体"/>
                <w:i w:val="0"/>
                <w:iCs w:val="0"/>
                <w:color w:val="000000"/>
                <w:sz w:val="20"/>
                <w:szCs w:val="20"/>
                <w:u w:val="none"/>
              </w:rPr>
            </w:pPr>
          </w:p>
        </w:tc>
      </w:tr>
      <w:tr w14:paraId="6257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7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中控显示屏</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TCL 100吋 液晶屏</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0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B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EBDA">
            <w:pPr>
              <w:jc w:val="center"/>
              <w:rPr>
                <w:rFonts w:hint="eastAsia" w:ascii="宋体" w:hAnsi="宋体" w:eastAsia="宋体" w:cs="宋体"/>
                <w:i w:val="0"/>
                <w:iCs w:val="0"/>
                <w:color w:val="000000"/>
                <w:sz w:val="20"/>
                <w:szCs w:val="20"/>
                <w:u w:val="none"/>
              </w:rPr>
            </w:pPr>
          </w:p>
        </w:tc>
      </w:tr>
      <w:tr w14:paraId="4B7B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D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终端软件</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DEF">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5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4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DA4F">
            <w:pPr>
              <w:jc w:val="center"/>
              <w:rPr>
                <w:rFonts w:hint="eastAsia" w:ascii="宋体" w:hAnsi="宋体" w:eastAsia="宋体" w:cs="宋体"/>
                <w:i w:val="0"/>
                <w:iCs w:val="0"/>
                <w:color w:val="000000"/>
                <w:sz w:val="20"/>
                <w:szCs w:val="20"/>
                <w:u w:val="none"/>
              </w:rPr>
            </w:pPr>
          </w:p>
        </w:tc>
      </w:tr>
      <w:tr w14:paraId="212D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出水水质监测</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含COD、氨氮、总磷、数采仪各二套，总氮、PH值各1套</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4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B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9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委托人留用</w:t>
            </w:r>
          </w:p>
        </w:tc>
      </w:tr>
      <w:tr w14:paraId="578B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9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8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储存空间</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CF8C">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硬盘空间</w:t>
            </w:r>
          </w:p>
        </w:tc>
      </w:tr>
      <w:tr w14:paraId="6ACA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BC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C7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设备间</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板房，14*6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1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F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524E">
            <w:pPr>
              <w:jc w:val="center"/>
              <w:rPr>
                <w:rFonts w:hint="eastAsia" w:ascii="宋体" w:hAnsi="宋体" w:eastAsia="宋体" w:cs="宋体"/>
                <w:i w:val="0"/>
                <w:iCs w:val="0"/>
                <w:color w:val="000000"/>
                <w:sz w:val="20"/>
                <w:szCs w:val="20"/>
                <w:u w:val="none"/>
              </w:rPr>
            </w:pPr>
          </w:p>
        </w:tc>
      </w:tr>
      <w:tr w14:paraId="6648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7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88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阀门、管道管件及电线电缆</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D483">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1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B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E809">
            <w:pPr>
              <w:jc w:val="center"/>
              <w:rPr>
                <w:rFonts w:hint="eastAsia" w:ascii="宋体" w:hAnsi="宋体" w:eastAsia="宋体" w:cs="宋体"/>
                <w:i w:val="0"/>
                <w:iCs w:val="0"/>
                <w:color w:val="000000"/>
                <w:sz w:val="20"/>
                <w:szCs w:val="20"/>
                <w:u w:val="none"/>
              </w:rPr>
            </w:pPr>
          </w:p>
        </w:tc>
      </w:tr>
      <w:tr w14:paraId="7FFD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F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B7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电气及自控</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0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西门子PLC，触摸屏，施耐德电气元器件，碳钢喷漆配电箱</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5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4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519C">
            <w:pPr>
              <w:jc w:val="center"/>
              <w:rPr>
                <w:rFonts w:hint="eastAsia" w:ascii="宋体" w:hAnsi="宋体" w:eastAsia="宋体" w:cs="宋体"/>
                <w:i w:val="0"/>
                <w:iCs w:val="0"/>
                <w:color w:val="000000"/>
                <w:sz w:val="20"/>
                <w:szCs w:val="20"/>
                <w:u w:val="none"/>
              </w:rPr>
            </w:pPr>
          </w:p>
        </w:tc>
      </w:tr>
      <w:tr w14:paraId="1E99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0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56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变压器</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7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表号0313000177895935，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组合式，ZGS1-10/0.4-630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8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5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CE6E">
            <w:pPr>
              <w:jc w:val="center"/>
              <w:rPr>
                <w:rFonts w:hint="eastAsia" w:ascii="宋体" w:hAnsi="宋体" w:eastAsia="宋体" w:cs="宋体"/>
                <w:i w:val="0"/>
                <w:iCs w:val="0"/>
                <w:color w:val="000000"/>
                <w:sz w:val="20"/>
                <w:szCs w:val="20"/>
                <w:u w:val="none"/>
              </w:rPr>
            </w:pPr>
          </w:p>
        </w:tc>
      </w:tr>
      <w:tr w14:paraId="1C19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EE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9E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自来水表</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D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表号126845</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5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B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171C">
            <w:pPr>
              <w:jc w:val="center"/>
              <w:rPr>
                <w:rFonts w:hint="eastAsia" w:ascii="宋体" w:hAnsi="宋体" w:eastAsia="宋体" w:cs="宋体"/>
                <w:i w:val="0"/>
                <w:iCs w:val="0"/>
                <w:color w:val="000000"/>
                <w:sz w:val="20"/>
                <w:szCs w:val="20"/>
                <w:u w:val="none"/>
              </w:rPr>
            </w:pPr>
          </w:p>
        </w:tc>
      </w:tr>
    </w:tbl>
    <w:p w14:paraId="3ABF46DC">
      <w:pPr>
        <w:pStyle w:val="2"/>
        <w:spacing w:line="360" w:lineRule="auto"/>
        <w:ind w:firstLine="480" w:firstLineChars="200"/>
        <w:rPr>
          <w:rFonts w:hint="default" w:eastAsia="宋体"/>
          <w:sz w:val="24"/>
          <w:szCs w:val="24"/>
          <w:highlight w:val="none"/>
          <w:lang w:val="en-US" w:eastAsia="zh-CN"/>
        </w:rPr>
      </w:pPr>
    </w:p>
    <w:p w14:paraId="58B79746">
      <w:pPr>
        <w:pStyle w:val="2"/>
        <w:spacing w:line="360" w:lineRule="auto"/>
        <w:ind w:firstLine="442" w:firstLineChars="200"/>
        <w:outlineLvl w:val="0"/>
        <w:rPr>
          <w:rFonts w:hint="eastAsia"/>
          <w:b/>
          <w:bCs/>
          <w:spacing w:val="-10"/>
          <w:sz w:val="24"/>
          <w:szCs w:val="24"/>
          <w:highlight w:val="none"/>
        </w:rPr>
      </w:pPr>
      <w:bookmarkStart w:id="7" w:name="_Toc25396"/>
      <w:bookmarkStart w:id="8" w:name="_Toc8784"/>
      <w:bookmarkStart w:id="9" w:name="_Toc16756"/>
      <w:r>
        <w:rPr>
          <w:rFonts w:hint="eastAsia"/>
          <w:b/>
          <w:bCs/>
          <w:spacing w:val="-10"/>
          <w:sz w:val="24"/>
          <w:szCs w:val="24"/>
          <w:highlight w:val="none"/>
        </w:rPr>
        <w:t>第二条</w:t>
      </w:r>
      <w:r>
        <w:rPr>
          <w:rFonts w:hint="eastAsia"/>
          <w:b/>
          <w:bCs/>
          <w:spacing w:val="-10"/>
          <w:sz w:val="24"/>
          <w:szCs w:val="24"/>
          <w:highlight w:val="none"/>
          <w:lang w:val="en-US" w:eastAsia="zh-CN"/>
        </w:rPr>
        <w:t xml:space="preserve">    </w:t>
      </w:r>
      <w:bookmarkStart w:id="10" w:name="_Hlk197691787"/>
      <w:r>
        <w:rPr>
          <w:rFonts w:hint="eastAsia"/>
          <w:b/>
          <w:bCs/>
          <w:spacing w:val="-10"/>
          <w:sz w:val="24"/>
          <w:szCs w:val="24"/>
          <w:highlight w:val="none"/>
        </w:rPr>
        <w:t>处置期限</w:t>
      </w:r>
      <w:bookmarkEnd w:id="7"/>
      <w:bookmarkEnd w:id="8"/>
      <w:bookmarkEnd w:id="9"/>
    </w:p>
    <w:p w14:paraId="570E2FCD">
      <w:pPr>
        <w:pStyle w:val="2"/>
        <w:spacing w:line="360" w:lineRule="auto"/>
        <w:ind w:firstLine="440" w:firstLineChars="200"/>
        <w:rPr>
          <w:spacing w:val="-10"/>
          <w:sz w:val="24"/>
          <w:szCs w:val="24"/>
          <w:highlight w:val="none"/>
        </w:rPr>
      </w:pPr>
      <w:r>
        <w:rPr>
          <w:rFonts w:hint="eastAsia"/>
          <w:b w:val="0"/>
          <w:bCs w:val="0"/>
          <w:spacing w:val="-10"/>
          <w:sz w:val="24"/>
          <w:szCs w:val="24"/>
          <w:highlight w:val="none"/>
          <w:lang w:val="en-US" w:eastAsia="zh-CN"/>
        </w:rPr>
        <w:t>处置期限</w:t>
      </w:r>
      <w:r>
        <w:rPr>
          <w:rFonts w:hint="eastAsia"/>
          <w:spacing w:val="-10"/>
          <w:sz w:val="24"/>
          <w:szCs w:val="24"/>
          <w:highlight w:val="none"/>
        </w:rPr>
        <w:t>自本合同生效之日起</w:t>
      </w:r>
      <w:r>
        <w:rPr>
          <w:rFonts w:hint="eastAsia"/>
          <w:spacing w:val="-10"/>
          <w:sz w:val="24"/>
          <w:szCs w:val="24"/>
          <w:highlight w:val="none"/>
          <w:lang w:val="en-US" w:eastAsia="zh-CN"/>
        </w:rPr>
        <w:t>1</w:t>
      </w:r>
      <w:r>
        <w:rPr>
          <w:rFonts w:hint="eastAsia"/>
          <w:spacing w:val="-10"/>
          <w:sz w:val="24"/>
          <w:szCs w:val="24"/>
          <w:highlight w:val="none"/>
        </w:rPr>
        <w:t>个月。</w:t>
      </w:r>
      <w:bookmarkEnd w:id="10"/>
    </w:p>
    <w:p w14:paraId="015B69A4">
      <w:pPr>
        <w:pStyle w:val="2"/>
        <w:spacing w:line="360" w:lineRule="auto"/>
        <w:ind w:firstLine="440" w:firstLineChars="200"/>
        <w:rPr>
          <w:spacing w:val="-10"/>
          <w:sz w:val="24"/>
          <w:szCs w:val="24"/>
          <w:highlight w:val="none"/>
        </w:rPr>
      </w:pPr>
      <w:bookmarkStart w:id="11" w:name="_Hlk197691821"/>
      <w:r>
        <w:rPr>
          <w:rFonts w:hint="eastAsia"/>
          <w:spacing w:val="-10"/>
          <w:sz w:val="24"/>
          <w:szCs w:val="24"/>
          <w:highlight w:val="none"/>
        </w:rPr>
        <w:t>合同因解除或期满终止后，双方应在</w:t>
      </w:r>
      <w:r>
        <w:rPr>
          <w:rFonts w:hint="eastAsia"/>
          <w:spacing w:val="-10"/>
          <w:sz w:val="24"/>
          <w:szCs w:val="24"/>
          <w:highlight w:val="none"/>
          <w:lang w:val="en-US" w:eastAsia="zh-CN"/>
        </w:rPr>
        <w:t>15天</w:t>
      </w:r>
      <w:r>
        <w:rPr>
          <w:rFonts w:hint="eastAsia"/>
          <w:spacing w:val="-10"/>
          <w:sz w:val="24"/>
          <w:szCs w:val="24"/>
          <w:highlight w:val="none"/>
        </w:rPr>
        <w:t>内办妥场地交接、价款核定、结算等工作。</w:t>
      </w:r>
      <w:r>
        <w:rPr>
          <w:rFonts w:hint="eastAsia"/>
          <w:spacing w:val="-10"/>
          <w:sz w:val="24"/>
          <w:szCs w:val="24"/>
          <w:highlight w:val="none"/>
          <w:lang w:val="en-US" w:eastAsia="zh-CN"/>
        </w:rPr>
        <w:t>但如甲方或上级主管部门等对场地交接工作等另有要求的按其要求。</w:t>
      </w:r>
    </w:p>
    <w:p w14:paraId="55FE7944">
      <w:pPr>
        <w:pStyle w:val="2"/>
        <w:spacing w:line="360" w:lineRule="auto"/>
        <w:ind w:firstLine="480" w:firstLineChars="200"/>
        <w:rPr>
          <w:sz w:val="24"/>
          <w:szCs w:val="24"/>
          <w:highlight w:val="none"/>
        </w:rPr>
      </w:pPr>
      <w:r>
        <w:rPr>
          <w:rFonts w:hint="eastAsia"/>
          <w:sz w:val="24"/>
          <w:szCs w:val="24"/>
          <w:highlight w:val="none"/>
        </w:rPr>
        <w:t>乙方应首先按照委托人要求的期限</w:t>
      </w:r>
      <w:r>
        <w:rPr>
          <w:rFonts w:hint="eastAsia"/>
          <w:sz w:val="24"/>
          <w:szCs w:val="24"/>
          <w:highlight w:val="none"/>
          <w:lang w:val="en-US" w:eastAsia="zh-CN"/>
        </w:rPr>
        <w:t>和标准</w:t>
      </w:r>
      <w:r>
        <w:rPr>
          <w:rFonts w:hint="eastAsia"/>
          <w:sz w:val="24"/>
          <w:szCs w:val="24"/>
          <w:highlight w:val="none"/>
        </w:rPr>
        <w:t>完成淡澳河水质提升服务项目资产处置并移交</w:t>
      </w:r>
      <w:r>
        <w:rPr>
          <w:rFonts w:hint="eastAsia"/>
          <w:sz w:val="24"/>
          <w:szCs w:val="24"/>
          <w:highlight w:val="none"/>
          <w:lang w:val="en-US" w:eastAsia="zh-CN"/>
        </w:rPr>
        <w:t>场地等</w:t>
      </w:r>
      <w:r>
        <w:rPr>
          <w:rFonts w:hint="eastAsia"/>
          <w:sz w:val="24"/>
          <w:szCs w:val="24"/>
          <w:highlight w:val="none"/>
        </w:rPr>
        <w:t>。如到期未处置完毕，经甲方同意延期后，乙方应按规定办理相关延期手续，但延期不得超过</w:t>
      </w:r>
      <w:r>
        <w:rPr>
          <w:rFonts w:hint="eastAsia"/>
          <w:sz w:val="24"/>
          <w:szCs w:val="24"/>
          <w:highlight w:val="none"/>
          <w:lang w:eastAsia="zh-CN"/>
        </w:rPr>
        <w:t>一</w:t>
      </w:r>
      <w:r>
        <w:rPr>
          <w:rFonts w:hint="eastAsia"/>
          <w:sz w:val="24"/>
          <w:szCs w:val="24"/>
          <w:highlight w:val="none"/>
        </w:rPr>
        <w:t>个月。如延期</w:t>
      </w:r>
      <w:r>
        <w:rPr>
          <w:rFonts w:hint="eastAsia"/>
          <w:sz w:val="24"/>
          <w:szCs w:val="24"/>
          <w:highlight w:val="none"/>
          <w:lang w:eastAsia="zh-CN"/>
        </w:rPr>
        <w:t>一</w:t>
      </w:r>
      <w:r>
        <w:rPr>
          <w:rFonts w:hint="eastAsia"/>
          <w:sz w:val="24"/>
          <w:szCs w:val="24"/>
          <w:highlight w:val="none"/>
        </w:rPr>
        <w:t>个月期满后仍未处置完毕的，剩余</w:t>
      </w:r>
      <w:r>
        <w:rPr>
          <w:rFonts w:hint="eastAsia"/>
          <w:sz w:val="24"/>
          <w:szCs w:val="24"/>
          <w:highlight w:val="none"/>
          <w:lang w:val="en-US" w:eastAsia="zh-CN"/>
        </w:rPr>
        <w:t>资产按现状</w:t>
      </w:r>
      <w:r>
        <w:rPr>
          <w:rFonts w:hint="default"/>
          <w:sz w:val="24"/>
          <w:szCs w:val="24"/>
          <w:highlight w:val="none"/>
          <w:lang w:val="en-US"/>
        </w:rPr>
        <w:t>无偿移交给甲方</w:t>
      </w:r>
      <w:r>
        <w:rPr>
          <w:rFonts w:hint="eastAsia"/>
          <w:sz w:val="24"/>
          <w:szCs w:val="24"/>
          <w:highlight w:val="none"/>
          <w:lang w:val="en-US" w:eastAsia="zh-CN"/>
        </w:rPr>
        <w:t>，乙方应同步完成场地平整并通过甲方验收</w:t>
      </w:r>
      <w:r>
        <w:rPr>
          <w:rFonts w:hint="eastAsia"/>
          <w:sz w:val="24"/>
          <w:szCs w:val="24"/>
          <w:highlight w:val="none"/>
          <w:lang w:eastAsia="zh-CN"/>
        </w:rPr>
        <w:t>，未消除安全隐患的，甲方有权从履约保证金中扣除整改费用</w:t>
      </w:r>
      <w:r>
        <w:rPr>
          <w:rFonts w:hint="eastAsia"/>
          <w:sz w:val="24"/>
          <w:szCs w:val="24"/>
          <w:highlight w:val="none"/>
        </w:rPr>
        <w:t>。</w:t>
      </w:r>
    </w:p>
    <w:p w14:paraId="1E7F1739">
      <w:pPr>
        <w:pStyle w:val="2"/>
        <w:spacing w:line="360" w:lineRule="auto"/>
        <w:ind w:firstLine="480" w:firstLineChars="200"/>
        <w:rPr>
          <w:spacing w:val="-10"/>
          <w:sz w:val="24"/>
          <w:szCs w:val="24"/>
          <w:highlight w:val="none"/>
        </w:rPr>
      </w:pPr>
      <w:r>
        <w:rPr>
          <w:rFonts w:hint="eastAsia"/>
          <w:sz w:val="24"/>
          <w:szCs w:val="24"/>
          <w:highlight w:val="none"/>
        </w:rPr>
        <w:t>处置期限到期或该场地内处置的</w:t>
      </w:r>
      <w:r>
        <w:rPr>
          <w:rFonts w:hint="eastAsia"/>
          <w:sz w:val="24"/>
          <w:szCs w:val="24"/>
          <w:highlight w:val="none"/>
          <w:lang w:val="en-US" w:eastAsia="zh-CN"/>
        </w:rPr>
        <w:t>资产提前</w:t>
      </w:r>
      <w:r>
        <w:rPr>
          <w:rFonts w:hint="eastAsia"/>
          <w:sz w:val="24"/>
          <w:szCs w:val="24"/>
          <w:highlight w:val="none"/>
        </w:rPr>
        <w:t>处置完毕，或本合同因乙方违约或者因</w:t>
      </w:r>
      <w:r>
        <w:rPr>
          <w:rFonts w:hint="eastAsia"/>
          <w:sz w:val="24"/>
          <w:szCs w:val="24"/>
          <w:highlight w:val="none"/>
          <w:lang w:val="en-US" w:eastAsia="zh-CN"/>
        </w:rPr>
        <w:t>资产</w:t>
      </w:r>
      <w:r>
        <w:rPr>
          <w:rFonts w:hint="eastAsia"/>
          <w:sz w:val="24"/>
          <w:szCs w:val="24"/>
          <w:highlight w:val="none"/>
        </w:rPr>
        <w:t>处置所依据的客观情况发生重大变化导致提前解除的，或者由于土地使用、工作范围变化及其他各种原因经甲乙双方协商一致进行合同解除或终止的，乙方应退出项目场地并妥善处理遗留的设施设备，确保消除安全隐患。</w:t>
      </w:r>
      <w:r>
        <w:rPr>
          <w:rFonts w:hint="eastAsia"/>
          <w:sz w:val="24"/>
          <w:szCs w:val="24"/>
          <w:highlight w:val="none"/>
          <w:lang w:val="en-US" w:eastAsia="zh-CN"/>
        </w:rPr>
        <w:t>乙方在双方约定的期限内退出项目，</w:t>
      </w:r>
      <w:r>
        <w:rPr>
          <w:rFonts w:hint="eastAsia"/>
          <w:sz w:val="24"/>
          <w:szCs w:val="24"/>
          <w:highlight w:val="none"/>
        </w:rPr>
        <w:t>有权申请按照剩余资产进行资产处置等款项核定，并依据相关规定要求</w:t>
      </w:r>
      <w:r>
        <w:rPr>
          <w:rFonts w:hint="eastAsia"/>
          <w:sz w:val="24"/>
          <w:szCs w:val="24"/>
          <w:highlight w:val="none"/>
          <w:lang w:val="en-US" w:eastAsia="zh-CN"/>
        </w:rPr>
        <w:t>甲方</w:t>
      </w:r>
      <w:r>
        <w:rPr>
          <w:rFonts w:hint="eastAsia"/>
          <w:sz w:val="24"/>
          <w:szCs w:val="24"/>
          <w:highlight w:val="none"/>
        </w:rPr>
        <w:t>实行多退少补</w:t>
      </w:r>
      <w:r>
        <w:rPr>
          <w:rFonts w:hint="eastAsia"/>
          <w:sz w:val="24"/>
          <w:szCs w:val="24"/>
          <w:highlight w:val="none"/>
          <w:lang w:eastAsia="zh-CN"/>
        </w:rPr>
        <w:t>，</w:t>
      </w:r>
      <w:r>
        <w:rPr>
          <w:rFonts w:hint="eastAsia"/>
          <w:sz w:val="24"/>
          <w:szCs w:val="24"/>
          <w:highlight w:val="none"/>
        </w:rPr>
        <w:t>合同解除或终止总结算价=竞得总价-未处置剩余资产评估价。</w:t>
      </w:r>
      <w:r>
        <w:rPr>
          <w:rFonts w:hint="eastAsia"/>
          <w:sz w:val="24"/>
          <w:szCs w:val="24"/>
          <w:highlight w:val="none"/>
          <w:lang w:val="en-US" w:eastAsia="zh-CN"/>
        </w:rPr>
        <w:t>如乙方</w:t>
      </w:r>
      <w:r>
        <w:rPr>
          <w:rFonts w:hint="eastAsia"/>
          <w:sz w:val="24"/>
          <w:szCs w:val="24"/>
          <w:highlight w:val="none"/>
        </w:rPr>
        <w:t>逾期仍未履行退出</w:t>
      </w:r>
      <w:r>
        <w:rPr>
          <w:rFonts w:hint="eastAsia"/>
          <w:sz w:val="24"/>
          <w:szCs w:val="24"/>
          <w:highlight w:val="none"/>
          <w:lang w:val="en-US" w:eastAsia="zh-CN"/>
        </w:rPr>
        <w:t>项目</w:t>
      </w:r>
      <w:r>
        <w:rPr>
          <w:rFonts w:hint="eastAsia"/>
          <w:sz w:val="24"/>
          <w:szCs w:val="24"/>
          <w:highlight w:val="none"/>
        </w:rPr>
        <w:t>的，视为乙方自愿放弃在项目范围内的所有</w:t>
      </w:r>
      <w:r>
        <w:rPr>
          <w:rFonts w:hint="eastAsia"/>
          <w:sz w:val="24"/>
          <w:szCs w:val="24"/>
          <w:highlight w:val="none"/>
          <w:lang w:val="en-US" w:eastAsia="zh-CN"/>
        </w:rPr>
        <w:t>物品、</w:t>
      </w:r>
      <w:r>
        <w:rPr>
          <w:rFonts w:hint="eastAsia"/>
          <w:sz w:val="24"/>
          <w:szCs w:val="24"/>
          <w:highlight w:val="none"/>
        </w:rPr>
        <w:t>设施设备</w:t>
      </w:r>
      <w:r>
        <w:rPr>
          <w:rFonts w:hint="eastAsia"/>
          <w:sz w:val="24"/>
          <w:szCs w:val="24"/>
          <w:highlight w:val="none"/>
          <w:lang w:val="en-US" w:eastAsia="zh-CN"/>
        </w:rPr>
        <w:t>等</w:t>
      </w:r>
      <w:r>
        <w:rPr>
          <w:rFonts w:hint="eastAsia"/>
          <w:sz w:val="24"/>
          <w:szCs w:val="24"/>
          <w:highlight w:val="none"/>
        </w:rPr>
        <w:t>，甲方有权自行处理，甲方按照约定或者法律规定收回</w:t>
      </w:r>
      <w:r>
        <w:rPr>
          <w:rFonts w:hint="eastAsia"/>
          <w:sz w:val="24"/>
          <w:szCs w:val="24"/>
          <w:highlight w:val="none"/>
          <w:lang w:val="en-US" w:eastAsia="zh-CN"/>
        </w:rPr>
        <w:t>资产</w:t>
      </w:r>
      <w:r>
        <w:rPr>
          <w:rFonts w:hint="eastAsia"/>
          <w:sz w:val="24"/>
          <w:szCs w:val="24"/>
          <w:highlight w:val="none"/>
        </w:rPr>
        <w:t>，甲方或者其他政府部门对乙方所遗留的</w:t>
      </w:r>
      <w:r>
        <w:rPr>
          <w:rFonts w:hint="eastAsia"/>
          <w:sz w:val="24"/>
          <w:szCs w:val="24"/>
          <w:highlight w:val="none"/>
          <w:lang w:val="en-US" w:eastAsia="zh-CN"/>
        </w:rPr>
        <w:t>物品</w:t>
      </w:r>
      <w:r>
        <w:rPr>
          <w:rFonts w:hint="eastAsia"/>
          <w:sz w:val="24"/>
          <w:szCs w:val="24"/>
          <w:highlight w:val="none"/>
        </w:rPr>
        <w:t>、设施设备等无需予以补偿。</w:t>
      </w:r>
    </w:p>
    <w:bookmarkEnd w:id="11"/>
    <w:p w14:paraId="0CAAA04E">
      <w:pPr>
        <w:pStyle w:val="2"/>
        <w:tabs>
          <w:tab w:val="left" w:pos="1908"/>
        </w:tabs>
        <w:spacing w:line="360" w:lineRule="auto"/>
        <w:ind w:firstLine="442" w:firstLineChars="200"/>
        <w:outlineLvl w:val="0"/>
        <w:rPr>
          <w:b/>
          <w:bCs/>
          <w:spacing w:val="-10"/>
          <w:sz w:val="24"/>
          <w:szCs w:val="24"/>
          <w:highlight w:val="none"/>
        </w:rPr>
      </w:pPr>
      <w:bookmarkStart w:id="12" w:name="_Toc25298"/>
      <w:bookmarkStart w:id="13" w:name="_Toc5792"/>
      <w:bookmarkStart w:id="14" w:name="_Toc27453"/>
      <w:r>
        <w:rPr>
          <w:rFonts w:hint="eastAsia"/>
          <w:b/>
          <w:bCs/>
          <w:spacing w:val="-10"/>
          <w:sz w:val="24"/>
          <w:szCs w:val="24"/>
          <w:highlight w:val="none"/>
        </w:rPr>
        <w:t>第三条</w:t>
      </w:r>
      <w:r>
        <w:rPr>
          <w:rFonts w:hint="eastAsia"/>
          <w:b/>
          <w:bCs/>
          <w:spacing w:val="-10"/>
          <w:sz w:val="24"/>
          <w:szCs w:val="24"/>
          <w:highlight w:val="none"/>
          <w:lang w:val="en-US" w:eastAsia="zh-CN"/>
        </w:rPr>
        <w:t xml:space="preserve">    </w:t>
      </w:r>
      <w:bookmarkStart w:id="15" w:name="_Hlk197691996"/>
      <w:r>
        <w:rPr>
          <w:rFonts w:hint="eastAsia"/>
          <w:b/>
          <w:bCs/>
          <w:spacing w:val="-10"/>
          <w:sz w:val="24"/>
          <w:szCs w:val="24"/>
          <w:highlight w:val="none"/>
          <w:lang w:val="en-US" w:eastAsia="zh-CN"/>
        </w:rPr>
        <w:t>资产处置</w:t>
      </w:r>
      <w:r>
        <w:rPr>
          <w:rFonts w:hint="eastAsia"/>
          <w:b/>
          <w:bCs/>
          <w:spacing w:val="-10"/>
          <w:sz w:val="24"/>
          <w:szCs w:val="24"/>
          <w:highlight w:val="none"/>
        </w:rPr>
        <w:t>款等款项的支付</w:t>
      </w:r>
      <w:bookmarkEnd w:id="12"/>
      <w:bookmarkEnd w:id="13"/>
      <w:bookmarkEnd w:id="14"/>
    </w:p>
    <w:p w14:paraId="08D48577">
      <w:pPr>
        <w:pStyle w:val="2"/>
        <w:tabs>
          <w:tab w:val="left" w:pos="1908"/>
        </w:tabs>
        <w:spacing w:line="360" w:lineRule="auto"/>
        <w:ind w:firstLine="440" w:firstLineChars="200"/>
        <w:rPr>
          <w:spacing w:val="-10"/>
          <w:sz w:val="24"/>
          <w:szCs w:val="24"/>
          <w:highlight w:val="none"/>
        </w:rPr>
      </w:pPr>
      <w:r>
        <w:rPr>
          <w:rFonts w:hint="eastAsia"/>
          <w:spacing w:val="-10"/>
          <w:sz w:val="24"/>
          <w:szCs w:val="24"/>
          <w:highlight w:val="none"/>
        </w:rPr>
        <w:t>（一）</w:t>
      </w:r>
      <w:r>
        <w:rPr>
          <w:rFonts w:hint="eastAsia"/>
          <w:spacing w:val="-10"/>
          <w:sz w:val="24"/>
          <w:szCs w:val="24"/>
          <w:highlight w:val="none"/>
          <w:lang w:val="en-US" w:eastAsia="zh-CN"/>
        </w:rPr>
        <w:t>资产</w:t>
      </w:r>
      <w:r>
        <w:rPr>
          <w:rFonts w:hint="eastAsia"/>
          <w:spacing w:val="-10"/>
          <w:sz w:val="24"/>
          <w:szCs w:val="24"/>
          <w:highlight w:val="none"/>
          <w:lang w:eastAsia="zh-CN"/>
        </w:rPr>
        <w:t>处置</w:t>
      </w:r>
      <w:r>
        <w:rPr>
          <w:rFonts w:hint="eastAsia"/>
          <w:spacing w:val="-10"/>
          <w:sz w:val="24"/>
          <w:szCs w:val="24"/>
          <w:highlight w:val="none"/>
        </w:rPr>
        <w:t>款</w:t>
      </w:r>
    </w:p>
    <w:p w14:paraId="5C10D163">
      <w:pPr>
        <w:pStyle w:val="2"/>
        <w:spacing w:line="360" w:lineRule="auto"/>
        <w:ind w:firstLine="480" w:firstLineChars="200"/>
        <w:rPr>
          <w:sz w:val="24"/>
          <w:szCs w:val="24"/>
          <w:highlight w:val="none"/>
        </w:rPr>
      </w:pPr>
      <w:r>
        <w:rPr>
          <w:rFonts w:hint="eastAsia"/>
          <w:sz w:val="24"/>
          <w:szCs w:val="24"/>
          <w:highlight w:val="none"/>
        </w:rPr>
        <w:t>1.本项目</w:t>
      </w:r>
      <w:r>
        <w:rPr>
          <w:rFonts w:hint="eastAsia"/>
          <w:sz w:val="24"/>
          <w:szCs w:val="24"/>
          <w:highlight w:val="none"/>
          <w:lang w:val="en-US" w:eastAsia="zh-CN"/>
        </w:rPr>
        <w:t>资产</w:t>
      </w:r>
      <w:r>
        <w:rPr>
          <w:rFonts w:hint="eastAsia"/>
          <w:sz w:val="24"/>
          <w:szCs w:val="24"/>
          <w:highlight w:val="none"/>
          <w:lang w:eastAsia="zh-CN"/>
        </w:rPr>
        <w:t>处置</w:t>
      </w:r>
      <w:r>
        <w:rPr>
          <w:rFonts w:hint="eastAsia"/>
          <w:sz w:val="24"/>
          <w:szCs w:val="24"/>
          <w:highlight w:val="none"/>
        </w:rPr>
        <w:t>款为含税人民币：</w:t>
      </w:r>
      <w:r>
        <w:rPr>
          <w:rFonts w:hint="eastAsia"/>
          <w:sz w:val="24"/>
          <w:szCs w:val="24"/>
          <w:highlight w:val="none"/>
          <w:u w:val="single"/>
        </w:rPr>
        <w:t xml:space="preserve">         </w:t>
      </w:r>
      <w:r>
        <w:rPr>
          <w:rFonts w:hint="eastAsia"/>
          <w:sz w:val="24"/>
          <w:szCs w:val="24"/>
          <w:highlight w:val="none"/>
        </w:rPr>
        <w:t>元（大写：    ）</w:t>
      </w:r>
      <w:r>
        <w:rPr>
          <w:rFonts w:hint="eastAsia"/>
          <w:sz w:val="24"/>
          <w:szCs w:val="24"/>
          <w:highlight w:val="none"/>
          <w:lang w:eastAsia="zh-CN"/>
        </w:rPr>
        <w:t>，</w:t>
      </w:r>
      <w:r>
        <w:rPr>
          <w:rFonts w:hint="eastAsia"/>
          <w:sz w:val="24"/>
          <w:szCs w:val="24"/>
          <w:highlight w:val="none"/>
        </w:rPr>
        <w:t>其中税率13%，其中未税价款为人民币：    元，税率13%。合同增值税额按业务发生时国家政策规定增值税计算，若因国家政策导致税率调整，合同价及支付款项也随之调整，其计算公式为：税率调整后含税价款=税率调整前含税价款/（1+旧税率）*(1+新税率）。</w:t>
      </w:r>
    </w:p>
    <w:p w14:paraId="0C3DB4C9">
      <w:pPr>
        <w:pStyle w:val="2"/>
        <w:spacing w:line="360" w:lineRule="auto"/>
        <w:ind w:firstLine="476" w:firstLineChars="200"/>
        <w:rPr>
          <w:spacing w:val="-10"/>
          <w:sz w:val="24"/>
          <w:szCs w:val="24"/>
          <w:highlight w:val="none"/>
        </w:rPr>
      </w:pPr>
      <w:r>
        <w:rPr>
          <w:rFonts w:hint="eastAsia"/>
          <w:spacing w:val="-1"/>
          <w:sz w:val="24"/>
          <w:szCs w:val="24"/>
          <w:highlight w:val="none"/>
        </w:rPr>
        <w:t>2.</w:t>
      </w:r>
      <w:r>
        <w:rPr>
          <w:rFonts w:hint="eastAsia"/>
          <w:spacing w:val="-10"/>
          <w:sz w:val="24"/>
          <w:szCs w:val="24"/>
          <w:highlight w:val="none"/>
        </w:rPr>
        <w:t>支付方式和时间</w:t>
      </w:r>
    </w:p>
    <w:p w14:paraId="2EA7D25E">
      <w:pPr>
        <w:pStyle w:val="2"/>
        <w:spacing w:line="360" w:lineRule="auto"/>
        <w:ind w:firstLine="440" w:firstLineChars="200"/>
        <w:rPr>
          <w:rFonts w:hint="eastAsia" w:eastAsia="宋体"/>
          <w:spacing w:val="-10"/>
          <w:sz w:val="24"/>
          <w:szCs w:val="24"/>
          <w:highlight w:val="none"/>
          <w:lang w:eastAsia="zh-CN"/>
        </w:rPr>
      </w:pPr>
      <w:r>
        <w:rPr>
          <w:rFonts w:hint="eastAsia"/>
          <w:spacing w:val="-10"/>
          <w:sz w:val="24"/>
          <w:szCs w:val="24"/>
          <w:highlight w:val="none"/>
        </w:rPr>
        <w:t>（1）履约保证金：竞得人竞得该项目后缴纳成交价的10%作为履约保证金一次性提交委托方，竞得人缴纳履约保证金后方可签订处置合同。履约保证金</w:t>
      </w:r>
      <w:r>
        <w:rPr>
          <w:rFonts w:hint="eastAsia"/>
          <w:spacing w:val="-10"/>
          <w:sz w:val="24"/>
          <w:szCs w:val="24"/>
          <w:highlight w:val="none"/>
          <w:lang w:val="en-US" w:eastAsia="zh-CN"/>
        </w:rPr>
        <w:t>按合同第九条“特别约定”执行退还</w:t>
      </w:r>
      <w:r>
        <w:rPr>
          <w:rFonts w:hint="eastAsia"/>
          <w:spacing w:val="-10"/>
          <w:sz w:val="24"/>
          <w:szCs w:val="24"/>
          <w:highlight w:val="none"/>
        </w:rPr>
        <w:t>，或经双方协商后用于抵扣尾款</w:t>
      </w:r>
      <w:r>
        <w:rPr>
          <w:rFonts w:hint="eastAsia"/>
          <w:spacing w:val="-10"/>
          <w:sz w:val="24"/>
          <w:szCs w:val="24"/>
          <w:highlight w:val="none"/>
          <w:lang w:eastAsia="zh-CN"/>
        </w:rPr>
        <w:t>。</w:t>
      </w:r>
    </w:p>
    <w:p w14:paraId="364D3320">
      <w:pPr>
        <w:pStyle w:val="2"/>
        <w:spacing w:line="360" w:lineRule="auto"/>
        <w:ind w:firstLine="440" w:firstLineChars="200"/>
        <w:rPr>
          <w:spacing w:val="-10"/>
          <w:sz w:val="24"/>
          <w:szCs w:val="24"/>
          <w:highlight w:val="none"/>
        </w:rPr>
      </w:pPr>
      <w:r>
        <w:rPr>
          <w:rFonts w:hint="eastAsia"/>
          <w:spacing w:val="-10"/>
          <w:sz w:val="24"/>
          <w:szCs w:val="24"/>
          <w:highlight w:val="none"/>
        </w:rPr>
        <w:t>若竞得人在合同履约期间违约，给委托人造成损失，委托人有权在履约担保中扣除已确认的损失部分，若给委托人造成的损失超过履约担保额时，由竞得人赔偿委托人超过履约担保额外的损失。若合同履行期间履约担保金额因竞得人违约被扣除的，竞得人应在收到委托人通知后10日内补足履约担保金额。如竞得人无违约行为的，履约保证金</w:t>
      </w:r>
      <w:r>
        <w:rPr>
          <w:rFonts w:hint="eastAsia"/>
          <w:spacing w:val="-10"/>
          <w:sz w:val="24"/>
          <w:szCs w:val="24"/>
          <w:highlight w:val="none"/>
          <w:lang w:val="en-US" w:eastAsia="zh-CN"/>
        </w:rPr>
        <w:t>按合同第九条“特别约定”执行退还</w:t>
      </w:r>
      <w:r>
        <w:rPr>
          <w:rFonts w:hint="eastAsia"/>
          <w:spacing w:val="-10"/>
          <w:sz w:val="24"/>
          <w:szCs w:val="24"/>
          <w:highlight w:val="none"/>
        </w:rPr>
        <w:t>。如需延期，竞得人有义务继续提供履约担保，不论委托人原因或竞得人原因导致延期的，继续提供履约担保所需费用由竞得人承担。</w:t>
      </w:r>
    </w:p>
    <w:p w14:paraId="4AAF1DA1">
      <w:pPr>
        <w:pStyle w:val="2"/>
        <w:spacing w:line="360" w:lineRule="auto"/>
        <w:ind w:firstLine="440" w:firstLineChars="200"/>
        <w:rPr>
          <w:spacing w:val="-10"/>
          <w:sz w:val="24"/>
          <w:szCs w:val="24"/>
          <w:highlight w:val="none"/>
        </w:rPr>
      </w:pPr>
      <w:r>
        <w:rPr>
          <w:rFonts w:hint="eastAsia"/>
          <w:spacing w:val="-10"/>
          <w:sz w:val="24"/>
          <w:szCs w:val="24"/>
          <w:highlight w:val="none"/>
        </w:rPr>
        <w:t>（2）</w:t>
      </w:r>
      <w:r>
        <w:rPr>
          <w:rFonts w:hint="eastAsia"/>
          <w:spacing w:val="-10"/>
          <w:sz w:val="24"/>
          <w:szCs w:val="24"/>
          <w:highlight w:val="none"/>
          <w:lang w:eastAsia="zh-CN"/>
        </w:rPr>
        <w:t>处置</w:t>
      </w:r>
      <w:r>
        <w:rPr>
          <w:rFonts w:hint="eastAsia"/>
          <w:spacing w:val="-10"/>
          <w:sz w:val="24"/>
          <w:szCs w:val="24"/>
          <w:highlight w:val="none"/>
        </w:rPr>
        <w:t>款支付</w:t>
      </w:r>
    </w:p>
    <w:p w14:paraId="092138AE">
      <w:pPr>
        <w:pStyle w:val="2"/>
        <w:spacing w:line="360" w:lineRule="auto"/>
        <w:ind w:firstLine="440" w:firstLineChars="200"/>
        <w:rPr>
          <w:rFonts w:hint="eastAsia"/>
          <w:spacing w:val="-10"/>
          <w:sz w:val="24"/>
          <w:szCs w:val="24"/>
          <w:highlight w:val="none"/>
        </w:rPr>
      </w:pPr>
      <w:r>
        <w:rPr>
          <w:rFonts w:hint="eastAsia"/>
          <w:spacing w:val="-10"/>
          <w:sz w:val="24"/>
          <w:szCs w:val="24"/>
          <w:highlight w:val="none"/>
        </w:rPr>
        <w:t>竞得人应在</w:t>
      </w:r>
      <w:r>
        <w:rPr>
          <w:rFonts w:hint="eastAsia"/>
          <w:spacing w:val="-10"/>
          <w:sz w:val="24"/>
          <w:szCs w:val="24"/>
          <w:highlight w:val="none"/>
          <w:lang w:val="en-US" w:eastAsia="zh-CN"/>
        </w:rPr>
        <w:t>合同</w:t>
      </w:r>
      <w:r>
        <w:rPr>
          <w:rFonts w:hint="eastAsia"/>
          <w:spacing w:val="-10"/>
          <w:sz w:val="24"/>
          <w:szCs w:val="24"/>
          <w:highlight w:val="none"/>
        </w:rPr>
        <w:t>签订后</w:t>
      </w:r>
      <w:r>
        <w:rPr>
          <w:rFonts w:hint="eastAsia"/>
          <w:spacing w:val="-10"/>
          <w:sz w:val="24"/>
          <w:szCs w:val="24"/>
          <w:highlight w:val="none"/>
          <w:lang w:val="en-US" w:eastAsia="zh-CN"/>
        </w:rPr>
        <w:t>7天</w:t>
      </w:r>
      <w:r>
        <w:rPr>
          <w:rFonts w:hint="eastAsia"/>
          <w:spacing w:val="-10"/>
          <w:sz w:val="24"/>
          <w:szCs w:val="24"/>
          <w:highlight w:val="none"/>
        </w:rPr>
        <w:t>内向委托人支付成交价的30%作为首付款；</w:t>
      </w:r>
    </w:p>
    <w:p w14:paraId="0104766D">
      <w:pPr>
        <w:pStyle w:val="2"/>
        <w:spacing w:line="360" w:lineRule="auto"/>
        <w:ind w:firstLine="440" w:firstLineChars="200"/>
        <w:rPr>
          <w:sz w:val="24"/>
          <w:szCs w:val="24"/>
          <w:highlight w:val="none"/>
        </w:rPr>
      </w:pPr>
      <w:r>
        <w:rPr>
          <w:rFonts w:hint="eastAsia"/>
          <w:spacing w:val="-10"/>
          <w:sz w:val="24"/>
          <w:szCs w:val="24"/>
          <w:highlight w:val="none"/>
        </w:rPr>
        <w:t>竞得人应在</w:t>
      </w:r>
      <w:r>
        <w:rPr>
          <w:rFonts w:hint="eastAsia"/>
          <w:spacing w:val="-10"/>
          <w:sz w:val="24"/>
          <w:szCs w:val="24"/>
          <w:highlight w:val="none"/>
          <w:lang w:val="en-US" w:eastAsia="zh-CN"/>
        </w:rPr>
        <w:t>合同</w:t>
      </w:r>
      <w:r>
        <w:rPr>
          <w:rFonts w:hint="eastAsia"/>
          <w:spacing w:val="-10"/>
          <w:sz w:val="24"/>
          <w:szCs w:val="24"/>
          <w:highlight w:val="none"/>
        </w:rPr>
        <w:t>签订后</w:t>
      </w:r>
      <w:r>
        <w:rPr>
          <w:rFonts w:hint="eastAsia"/>
          <w:spacing w:val="-10"/>
          <w:sz w:val="24"/>
          <w:szCs w:val="24"/>
          <w:highlight w:val="none"/>
          <w:lang w:val="en-US" w:eastAsia="zh-CN"/>
        </w:rPr>
        <w:t>1</w:t>
      </w:r>
      <w:r>
        <w:rPr>
          <w:rFonts w:hint="eastAsia"/>
          <w:spacing w:val="-10"/>
          <w:sz w:val="24"/>
          <w:szCs w:val="24"/>
          <w:highlight w:val="none"/>
        </w:rPr>
        <w:t>个月之内将本项目处置款全部付清。</w:t>
      </w:r>
    </w:p>
    <w:p w14:paraId="025B9B23">
      <w:pPr>
        <w:pStyle w:val="2"/>
        <w:spacing w:line="360" w:lineRule="auto"/>
        <w:ind w:firstLine="480" w:firstLineChars="200"/>
        <w:rPr>
          <w:sz w:val="24"/>
          <w:szCs w:val="24"/>
          <w:highlight w:val="none"/>
        </w:rPr>
      </w:pPr>
      <w:r>
        <w:rPr>
          <w:rFonts w:hint="eastAsia"/>
          <w:sz w:val="24"/>
          <w:szCs w:val="24"/>
          <w:highlight w:val="none"/>
        </w:rPr>
        <w:t>（</w:t>
      </w:r>
      <w:r>
        <w:rPr>
          <w:rFonts w:hint="eastAsia"/>
          <w:sz w:val="24"/>
          <w:szCs w:val="24"/>
          <w:highlight w:val="none"/>
          <w:lang w:val="en-US" w:eastAsia="zh-CN"/>
        </w:rPr>
        <w:t>二</w:t>
      </w:r>
      <w:r>
        <w:rPr>
          <w:rFonts w:hint="eastAsia"/>
          <w:sz w:val="24"/>
          <w:szCs w:val="24"/>
          <w:highlight w:val="none"/>
        </w:rPr>
        <w:t>）其他</w:t>
      </w:r>
    </w:p>
    <w:p w14:paraId="0F5B2F10">
      <w:pPr>
        <w:pStyle w:val="2"/>
        <w:spacing w:line="360" w:lineRule="auto"/>
        <w:ind w:firstLine="480" w:firstLineChars="200"/>
        <w:rPr>
          <w:sz w:val="24"/>
          <w:szCs w:val="24"/>
          <w:highlight w:val="none"/>
        </w:rPr>
      </w:pPr>
      <w:r>
        <w:rPr>
          <w:rFonts w:hint="eastAsia"/>
          <w:sz w:val="24"/>
          <w:szCs w:val="24"/>
          <w:highlight w:val="none"/>
          <w:lang w:val="en-US" w:eastAsia="zh-CN"/>
        </w:rPr>
        <w:t>资产</w:t>
      </w:r>
      <w:r>
        <w:rPr>
          <w:rFonts w:hint="eastAsia"/>
          <w:sz w:val="24"/>
          <w:szCs w:val="24"/>
          <w:highlight w:val="none"/>
          <w:lang w:eastAsia="zh-CN"/>
        </w:rPr>
        <w:t>处置</w:t>
      </w:r>
      <w:r>
        <w:rPr>
          <w:rFonts w:hint="eastAsia"/>
          <w:sz w:val="24"/>
          <w:szCs w:val="24"/>
          <w:highlight w:val="none"/>
        </w:rPr>
        <w:t>款等不包括乙方在</w:t>
      </w:r>
      <w:r>
        <w:rPr>
          <w:rFonts w:hint="eastAsia"/>
          <w:sz w:val="24"/>
          <w:szCs w:val="24"/>
          <w:highlight w:val="none"/>
          <w:lang w:val="en-US" w:eastAsia="zh-CN"/>
        </w:rPr>
        <w:t>资产</w:t>
      </w:r>
      <w:r>
        <w:rPr>
          <w:rFonts w:hint="eastAsia"/>
          <w:sz w:val="24"/>
          <w:szCs w:val="24"/>
          <w:highlight w:val="none"/>
        </w:rPr>
        <w:t>处置过程中按法律法规的规定应缴纳的其他费用（如全部相关税费、场地租赁费用、</w:t>
      </w:r>
      <w:r>
        <w:rPr>
          <w:rFonts w:hint="eastAsia"/>
          <w:sz w:val="24"/>
          <w:szCs w:val="24"/>
          <w:highlight w:val="none"/>
          <w:lang w:val="en-US" w:eastAsia="zh-CN"/>
        </w:rPr>
        <w:t>垃圾清运、</w:t>
      </w:r>
      <w:r>
        <w:rPr>
          <w:rFonts w:hint="eastAsia"/>
          <w:sz w:val="24"/>
          <w:szCs w:val="24"/>
          <w:highlight w:val="none"/>
        </w:rPr>
        <w:t>清表</w:t>
      </w:r>
      <w:r>
        <w:rPr>
          <w:rFonts w:hint="eastAsia"/>
          <w:sz w:val="24"/>
          <w:szCs w:val="24"/>
          <w:highlight w:val="none"/>
          <w:lang w:val="en-US" w:eastAsia="zh-CN"/>
        </w:rPr>
        <w:t>覆绿</w:t>
      </w:r>
      <w:r>
        <w:rPr>
          <w:rFonts w:hint="eastAsia"/>
          <w:sz w:val="24"/>
          <w:szCs w:val="24"/>
          <w:highlight w:val="none"/>
        </w:rPr>
        <w:t>等费用）。</w:t>
      </w:r>
    </w:p>
    <w:bookmarkEnd w:id="15"/>
    <w:p w14:paraId="5CDE3A42">
      <w:pPr>
        <w:pStyle w:val="2"/>
        <w:tabs>
          <w:tab w:val="left" w:pos="1908"/>
        </w:tabs>
        <w:spacing w:line="360" w:lineRule="auto"/>
        <w:ind w:firstLine="450" w:firstLineChars="200"/>
        <w:outlineLvl w:val="0"/>
        <w:rPr>
          <w:b/>
          <w:bCs/>
          <w:spacing w:val="-8"/>
          <w:sz w:val="24"/>
          <w:szCs w:val="24"/>
          <w:highlight w:val="none"/>
        </w:rPr>
      </w:pPr>
      <w:bookmarkStart w:id="16" w:name="_Toc30550"/>
      <w:bookmarkStart w:id="17" w:name="_Toc32015"/>
      <w:bookmarkStart w:id="18" w:name="_Toc27162"/>
      <w:r>
        <w:rPr>
          <w:rFonts w:hint="eastAsia"/>
          <w:b/>
          <w:bCs/>
          <w:spacing w:val="-8"/>
          <w:sz w:val="24"/>
          <w:szCs w:val="24"/>
          <w:highlight w:val="none"/>
        </w:rPr>
        <w:t>第</w:t>
      </w:r>
      <w:r>
        <w:rPr>
          <w:rFonts w:hint="eastAsia"/>
          <w:b/>
          <w:bCs/>
          <w:spacing w:val="-8"/>
          <w:sz w:val="24"/>
          <w:szCs w:val="24"/>
          <w:highlight w:val="none"/>
          <w:lang w:val="en-US" w:eastAsia="zh-CN"/>
        </w:rPr>
        <w:t>四</w:t>
      </w:r>
      <w:r>
        <w:rPr>
          <w:rFonts w:hint="eastAsia"/>
          <w:b/>
          <w:bCs/>
          <w:spacing w:val="-8"/>
          <w:sz w:val="24"/>
          <w:szCs w:val="24"/>
          <w:highlight w:val="none"/>
        </w:rPr>
        <w:t>条    甲方权利</w:t>
      </w:r>
      <w:bookmarkEnd w:id="16"/>
      <w:bookmarkEnd w:id="17"/>
      <w:bookmarkEnd w:id="18"/>
    </w:p>
    <w:p w14:paraId="14DB6A51">
      <w:pPr>
        <w:pStyle w:val="2"/>
        <w:spacing w:line="360" w:lineRule="auto"/>
        <w:ind w:firstLine="480" w:firstLineChars="200"/>
        <w:rPr>
          <w:sz w:val="24"/>
          <w:szCs w:val="24"/>
          <w:highlight w:val="none"/>
        </w:rPr>
      </w:pPr>
      <w:r>
        <w:rPr>
          <w:rFonts w:hint="eastAsia"/>
          <w:sz w:val="24"/>
          <w:szCs w:val="24"/>
          <w:highlight w:val="none"/>
        </w:rPr>
        <w:t>（</w:t>
      </w:r>
      <w:r>
        <w:rPr>
          <w:rFonts w:hint="eastAsia"/>
          <w:sz w:val="24"/>
          <w:szCs w:val="24"/>
          <w:highlight w:val="none"/>
          <w:lang w:val="en-US" w:eastAsia="zh-CN"/>
        </w:rPr>
        <w:t>一</w:t>
      </w:r>
      <w:r>
        <w:rPr>
          <w:rFonts w:hint="eastAsia"/>
          <w:sz w:val="24"/>
          <w:szCs w:val="24"/>
          <w:highlight w:val="none"/>
        </w:rPr>
        <w:t>）因</w:t>
      </w:r>
      <w:r>
        <w:rPr>
          <w:rFonts w:hint="eastAsia"/>
          <w:sz w:val="24"/>
          <w:szCs w:val="24"/>
          <w:highlight w:val="none"/>
          <w:lang w:val="en-US" w:eastAsia="zh-CN"/>
        </w:rPr>
        <w:t>资产</w:t>
      </w:r>
      <w:r>
        <w:rPr>
          <w:rFonts w:hint="eastAsia"/>
          <w:sz w:val="24"/>
          <w:szCs w:val="24"/>
          <w:highlight w:val="none"/>
        </w:rPr>
        <w:t>处置所依据的客观情况发生重大变化，为了公共利益的需要或应有关部门要求，甲方有权依法取消</w:t>
      </w:r>
      <w:r>
        <w:rPr>
          <w:rFonts w:hint="eastAsia"/>
          <w:sz w:val="24"/>
          <w:szCs w:val="24"/>
          <w:highlight w:val="none"/>
          <w:lang w:val="en-US" w:eastAsia="zh-CN"/>
        </w:rPr>
        <w:t>资产</w:t>
      </w:r>
      <w:r>
        <w:rPr>
          <w:rFonts w:hint="eastAsia"/>
          <w:sz w:val="24"/>
          <w:szCs w:val="24"/>
          <w:highlight w:val="none"/>
        </w:rPr>
        <w:t>处置，解除本合同，且不承担任何违约责任。</w:t>
      </w:r>
    </w:p>
    <w:p w14:paraId="408A5096">
      <w:pPr>
        <w:pStyle w:val="2"/>
        <w:spacing w:line="360" w:lineRule="auto"/>
        <w:ind w:firstLine="480" w:firstLineChars="200"/>
        <w:rPr>
          <w:sz w:val="24"/>
          <w:szCs w:val="24"/>
          <w:highlight w:val="none"/>
        </w:rPr>
      </w:pPr>
      <w:r>
        <w:rPr>
          <w:rFonts w:hint="eastAsia"/>
          <w:sz w:val="24"/>
          <w:szCs w:val="24"/>
          <w:highlight w:val="none"/>
        </w:rPr>
        <w:t>（</w:t>
      </w:r>
      <w:r>
        <w:rPr>
          <w:rFonts w:hint="eastAsia"/>
          <w:sz w:val="24"/>
          <w:szCs w:val="24"/>
          <w:highlight w:val="none"/>
          <w:lang w:val="en-US" w:eastAsia="zh-CN"/>
        </w:rPr>
        <w:t>二</w:t>
      </w:r>
      <w:r>
        <w:rPr>
          <w:rFonts w:hint="eastAsia"/>
          <w:sz w:val="24"/>
          <w:szCs w:val="24"/>
          <w:highlight w:val="none"/>
        </w:rPr>
        <w:t>）对乙方场地平整工作、地质环境保护及其它应履行的法定义务进行监督检查。</w:t>
      </w:r>
    </w:p>
    <w:p w14:paraId="154255F3">
      <w:pPr>
        <w:pStyle w:val="2"/>
        <w:tabs>
          <w:tab w:val="left" w:pos="1908"/>
        </w:tabs>
        <w:spacing w:line="360" w:lineRule="auto"/>
        <w:ind w:firstLine="482" w:firstLineChars="200"/>
        <w:outlineLvl w:val="0"/>
        <w:rPr>
          <w:b/>
          <w:bCs/>
          <w:sz w:val="24"/>
          <w:szCs w:val="24"/>
          <w:highlight w:val="none"/>
        </w:rPr>
      </w:pPr>
      <w:bookmarkStart w:id="19" w:name="_Toc15773"/>
      <w:bookmarkStart w:id="20" w:name="_Toc24778"/>
      <w:bookmarkStart w:id="21" w:name="_Toc10070"/>
      <w:r>
        <w:rPr>
          <w:rFonts w:hint="eastAsia"/>
          <w:b/>
          <w:bCs/>
          <w:sz w:val="24"/>
          <w:szCs w:val="24"/>
          <w:highlight w:val="none"/>
        </w:rPr>
        <w:t>第</w:t>
      </w:r>
      <w:r>
        <w:rPr>
          <w:rFonts w:hint="eastAsia"/>
          <w:b/>
          <w:bCs/>
          <w:sz w:val="24"/>
          <w:szCs w:val="24"/>
          <w:highlight w:val="none"/>
          <w:lang w:val="en-US" w:eastAsia="zh-CN"/>
        </w:rPr>
        <w:t>五</w:t>
      </w:r>
      <w:r>
        <w:rPr>
          <w:rFonts w:hint="eastAsia"/>
          <w:b/>
          <w:bCs/>
          <w:sz w:val="24"/>
          <w:szCs w:val="24"/>
          <w:highlight w:val="none"/>
        </w:rPr>
        <w:t>条</w:t>
      </w:r>
      <w:r>
        <w:rPr>
          <w:rFonts w:hint="eastAsia"/>
          <w:b/>
          <w:bCs/>
          <w:sz w:val="24"/>
          <w:szCs w:val="24"/>
          <w:highlight w:val="none"/>
          <w:lang w:val="en-US" w:eastAsia="zh-CN"/>
        </w:rPr>
        <w:t xml:space="preserve">    </w:t>
      </w:r>
      <w:r>
        <w:rPr>
          <w:rFonts w:hint="eastAsia"/>
          <w:b/>
          <w:bCs/>
          <w:sz w:val="24"/>
          <w:szCs w:val="24"/>
          <w:highlight w:val="none"/>
        </w:rPr>
        <w:t>甲</w:t>
      </w:r>
      <w:r>
        <w:rPr>
          <w:rFonts w:hint="eastAsia"/>
          <w:b/>
          <w:bCs/>
          <w:spacing w:val="-3"/>
          <w:sz w:val="24"/>
          <w:szCs w:val="24"/>
          <w:highlight w:val="none"/>
        </w:rPr>
        <w:t>方</w:t>
      </w:r>
      <w:r>
        <w:rPr>
          <w:rFonts w:hint="eastAsia"/>
          <w:b/>
          <w:bCs/>
          <w:sz w:val="24"/>
          <w:szCs w:val="24"/>
          <w:highlight w:val="none"/>
        </w:rPr>
        <w:t>义务</w:t>
      </w:r>
      <w:bookmarkEnd w:id="19"/>
      <w:bookmarkEnd w:id="20"/>
      <w:bookmarkEnd w:id="21"/>
    </w:p>
    <w:p w14:paraId="2CE7FB62">
      <w:pPr>
        <w:pStyle w:val="2"/>
        <w:spacing w:line="360" w:lineRule="auto"/>
        <w:ind w:firstLine="480" w:firstLineChars="200"/>
        <w:rPr>
          <w:sz w:val="24"/>
          <w:szCs w:val="24"/>
          <w:highlight w:val="none"/>
        </w:rPr>
      </w:pPr>
      <w:r>
        <w:rPr>
          <w:rFonts w:hint="eastAsia"/>
          <w:sz w:val="24"/>
          <w:szCs w:val="24"/>
          <w:highlight w:val="none"/>
        </w:rPr>
        <w:t>（一）在本合同生效期间，甲方不得将本合同约定的</w:t>
      </w:r>
      <w:r>
        <w:rPr>
          <w:rFonts w:hint="eastAsia"/>
          <w:sz w:val="24"/>
          <w:szCs w:val="24"/>
          <w:highlight w:val="none"/>
          <w:lang w:val="en-US" w:eastAsia="zh-CN"/>
        </w:rPr>
        <w:t>资产</w:t>
      </w:r>
      <w:r>
        <w:rPr>
          <w:rFonts w:hint="eastAsia"/>
          <w:sz w:val="24"/>
          <w:szCs w:val="24"/>
          <w:highlight w:val="none"/>
        </w:rPr>
        <w:t>另行向第三方处置。</w:t>
      </w:r>
    </w:p>
    <w:p w14:paraId="5AA3A99A">
      <w:pPr>
        <w:pStyle w:val="2"/>
        <w:spacing w:line="360" w:lineRule="auto"/>
        <w:ind w:firstLine="480" w:firstLineChars="200"/>
        <w:rPr>
          <w:sz w:val="24"/>
          <w:szCs w:val="24"/>
          <w:highlight w:val="none"/>
        </w:rPr>
      </w:pPr>
      <w:r>
        <w:rPr>
          <w:rFonts w:hint="eastAsia"/>
          <w:sz w:val="24"/>
          <w:szCs w:val="24"/>
          <w:highlight w:val="none"/>
        </w:rPr>
        <w:t>（二）因</w:t>
      </w:r>
      <w:r>
        <w:rPr>
          <w:rFonts w:hint="eastAsia"/>
          <w:sz w:val="24"/>
          <w:szCs w:val="24"/>
          <w:highlight w:val="none"/>
          <w:lang w:val="en-US" w:eastAsia="zh-CN"/>
        </w:rPr>
        <w:t>资产</w:t>
      </w:r>
      <w:r>
        <w:rPr>
          <w:rFonts w:hint="eastAsia"/>
          <w:sz w:val="24"/>
          <w:szCs w:val="24"/>
          <w:highlight w:val="none"/>
        </w:rPr>
        <w:t>处置所依据的客观情况发生重大变化，为了公共利益的需要或应有关部门要求，甲方依法取消</w:t>
      </w:r>
      <w:r>
        <w:rPr>
          <w:rFonts w:hint="eastAsia"/>
          <w:sz w:val="24"/>
          <w:szCs w:val="24"/>
          <w:highlight w:val="none"/>
          <w:lang w:val="en-US" w:eastAsia="zh-CN"/>
        </w:rPr>
        <w:t>资产</w:t>
      </w:r>
      <w:r>
        <w:rPr>
          <w:rFonts w:hint="eastAsia"/>
          <w:sz w:val="24"/>
          <w:szCs w:val="24"/>
          <w:highlight w:val="none"/>
        </w:rPr>
        <w:t>处置，在解除本合同的同时按规定妥善处置该</w:t>
      </w:r>
      <w:r>
        <w:rPr>
          <w:rFonts w:hint="eastAsia"/>
          <w:sz w:val="24"/>
          <w:szCs w:val="24"/>
          <w:highlight w:val="none"/>
          <w:lang w:val="en-US" w:eastAsia="zh-CN"/>
        </w:rPr>
        <w:t>资产</w:t>
      </w:r>
      <w:r>
        <w:rPr>
          <w:rFonts w:hint="eastAsia"/>
          <w:sz w:val="24"/>
          <w:szCs w:val="24"/>
          <w:highlight w:val="none"/>
        </w:rPr>
        <w:t>。</w:t>
      </w:r>
    </w:p>
    <w:p w14:paraId="53AE7254">
      <w:pPr>
        <w:pStyle w:val="2"/>
        <w:tabs>
          <w:tab w:val="left" w:pos="1908"/>
        </w:tabs>
        <w:spacing w:line="360" w:lineRule="auto"/>
        <w:ind w:firstLine="482" w:firstLineChars="200"/>
        <w:outlineLvl w:val="0"/>
        <w:rPr>
          <w:b/>
          <w:bCs/>
          <w:sz w:val="24"/>
          <w:szCs w:val="24"/>
          <w:highlight w:val="none"/>
        </w:rPr>
      </w:pPr>
      <w:bookmarkStart w:id="22" w:name="_Toc25169"/>
      <w:bookmarkStart w:id="23" w:name="_Toc12472"/>
      <w:bookmarkStart w:id="24" w:name="_Toc22083"/>
      <w:r>
        <w:rPr>
          <w:rFonts w:hint="eastAsia"/>
          <w:b/>
          <w:bCs/>
          <w:sz w:val="24"/>
          <w:szCs w:val="24"/>
          <w:highlight w:val="none"/>
        </w:rPr>
        <w:t>第</w:t>
      </w:r>
      <w:r>
        <w:rPr>
          <w:rFonts w:hint="eastAsia"/>
          <w:b/>
          <w:bCs/>
          <w:sz w:val="24"/>
          <w:szCs w:val="24"/>
          <w:highlight w:val="none"/>
          <w:lang w:val="en-US" w:eastAsia="zh-CN"/>
        </w:rPr>
        <w:t>六</w:t>
      </w:r>
      <w:r>
        <w:rPr>
          <w:rFonts w:hint="eastAsia"/>
          <w:b/>
          <w:bCs/>
          <w:sz w:val="24"/>
          <w:szCs w:val="24"/>
          <w:highlight w:val="none"/>
        </w:rPr>
        <w:t>条</w:t>
      </w:r>
      <w:r>
        <w:rPr>
          <w:rFonts w:hint="eastAsia"/>
          <w:b/>
          <w:bCs/>
          <w:sz w:val="24"/>
          <w:szCs w:val="24"/>
          <w:highlight w:val="none"/>
          <w:lang w:val="en-US" w:eastAsia="zh-CN"/>
        </w:rPr>
        <w:t xml:space="preserve">    </w:t>
      </w:r>
      <w:r>
        <w:rPr>
          <w:rFonts w:hint="eastAsia"/>
          <w:b/>
          <w:bCs/>
          <w:sz w:val="24"/>
          <w:szCs w:val="24"/>
          <w:highlight w:val="none"/>
        </w:rPr>
        <w:t>乙</w:t>
      </w:r>
      <w:r>
        <w:rPr>
          <w:rFonts w:hint="eastAsia"/>
          <w:b/>
          <w:bCs/>
          <w:spacing w:val="-3"/>
          <w:sz w:val="24"/>
          <w:szCs w:val="24"/>
          <w:highlight w:val="none"/>
        </w:rPr>
        <w:t>方</w:t>
      </w:r>
      <w:r>
        <w:rPr>
          <w:rFonts w:hint="eastAsia"/>
          <w:b/>
          <w:bCs/>
          <w:sz w:val="24"/>
          <w:szCs w:val="24"/>
          <w:highlight w:val="none"/>
        </w:rPr>
        <w:t>权利</w:t>
      </w:r>
      <w:bookmarkEnd w:id="22"/>
      <w:bookmarkEnd w:id="23"/>
      <w:bookmarkEnd w:id="24"/>
    </w:p>
    <w:p w14:paraId="6664E43E">
      <w:pPr>
        <w:pStyle w:val="2"/>
        <w:spacing w:line="360" w:lineRule="auto"/>
        <w:ind w:firstLine="480" w:firstLineChars="200"/>
        <w:rPr>
          <w:sz w:val="24"/>
          <w:szCs w:val="24"/>
          <w:highlight w:val="none"/>
        </w:rPr>
      </w:pPr>
      <w:r>
        <w:rPr>
          <w:rFonts w:hint="eastAsia"/>
          <w:sz w:val="24"/>
          <w:szCs w:val="24"/>
          <w:highlight w:val="none"/>
        </w:rPr>
        <w:t>（一）乙方在依据本合同支付</w:t>
      </w:r>
      <w:r>
        <w:rPr>
          <w:rFonts w:hint="eastAsia"/>
          <w:sz w:val="24"/>
          <w:szCs w:val="24"/>
          <w:highlight w:val="none"/>
          <w:lang w:val="en-US" w:eastAsia="zh-CN"/>
        </w:rPr>
        <w:t>资产</w:t>
      </w:r>
      <w:r>
        <w:rPr>
          <w:rFonts w:hint="eastAsia"/>
          <w:sz w:val="24"/>
          <w:szCs w:val="24"/>
          <w:highlight w:val="none"/>
        </w:rPr>
        <w:t>处置等款项后，在有效限期内依法享有该</w:t>
      </w:r>
      <w:r>
        <w:rPr>
          <w:rFonts w:hint="eastAsia"/>
          <w:sz w:val="24"/>
          <w:szCs w:val="24"/>
          <w:highlight w:val="none"/>
          <w:lang w:val="en-US" w:eastAsia="zh-CN"/>
        </w:rPr>
        <w:t>资产</w:t>
      </w:r>
      <w:r>
        <w:rPr>
          <w:rFonts w:hint="eastAsia"/>
          <w:sz w:val="24"/>
          <w:szCs w:val="24"/>
          <w:highlight w:val="none"/>
        </w:rPr>
        <w:t>的使用和处分权利。</w:t>
      </w:r>
    </w:p>
    <w:p w14:paraId="479515A9">
      <w:pPr>
        <w:pStyle w:val="2"/>
        <w:spacing w:line="360" w:lineRule="auto"/>
        <w:ind w:firstLine="480" w:firstLineChars="200"/>
        <w:rPr>
          <w:sz w:val="24"/>
          <w:szCs w:val="24"/>
          <w:highlight w:val="none"/>
        </w:rPr>
      </w:pPr>
      <w:r>
        <w:rPr>
          <w:rFonts w:hint="eastAsia"/>
          <w:sz w:val="24"/>
          <w:szCs w:val="24"/>
          <w:highlight w:val="none"/>
        </w:rPr>
        <w:t>（二）甲方未按照合同的约定移交</w:t>
      </w:r>
      <w:r>
        <w:rPr>
          <w:rFonts w:hint="eastAsia"/>
          <w:sz w:val="24"/>
          <w:szCs w:val="24"/>
          <w:highlight w:val="none"/>
          <w:lang w:val="en-US" w:eastAsia="zh-CN"/>
        </w:rPr>
        <w:t>资产</w:t>
      </w:r>
      <w:r>
        <w:rPr>
          <w:rFonts w:hint="eastAsia"/>
          <w:sz w:val="24"/>
          <w:szCs w:val="24"/>
          <w:highlight w:val="none"/>
        </w:rPr>
        <w:t>的，乙方有权解除本合同。</w:t>
      </w:r>
    </w:p>
    <w:p w14:paraId="558D8937">
      <w:pPr>
        <w:pStyle w:val="2"/>
        <w:spacing w:line="360" w:lineRule="auto"/>
        <w:ind w:firstLine="480" w:firstLineChars="200"/>
        <w:rPr>
          <w:rFonts w:hint="eastAsia"/>
          <w:sz w:val="24"/>
          <w:szCs w:val="24"/>
          <w:highlight w:val="none"/>
        </w:rPr>
      </w:pPr>
      <w:r>
        <w:rPr>
          <w:rFonts w:hint="eastAsia"/>
          <w:sz w:val="24"/>
          <w:szCs w:val="24"/>
          <w:highlight w:val="none"/>
        </w:rPr>
        <w:t>（三）因</w:t>
      </w:r>
      <w:r>
        <w:rPr>
          <w:rFonts w:hint="eastAsia"/>
          <w:sz w:val="24"/>
          <w:szCs w:val="24"/>
          <w:highlight w:val="none"/>
          <w:lang w:val="en-US" w:eastAsia="zh-CN"/>
        </w:rPr>
        <w:t>资产</w:t>
      </w:r>
      <w:r>
        <w:rPr>
          <w:rFonts w:hint="eastAsia"/>
          <w:sz w:val="24"/>
          <w:szCs w:val="24"/>
          <w:highlight w:val="none"/>
        </w:rPr>
        <w:t>处置所依据的客观情况发生重大变化，为了公共利益的需要或应有关部门要求等导致甲方解除合同或合同终止，或者由于土地使用、工作范围变化及其他各种原因经甲乙双方协商一致进行合同解除或终止的，乙方有权申请按照剩余</w:t>
      </w:r>
      <w:r>
        <w:rPr>
          <w:rFonts w:hint="eastAsia"/>
          <w:sz w:val="24"/>
          <w:szCs w:val="24"/>
          <w:highlight w:val="none"/>
          <w:lang w:val="en-US" w:eastAsia="zh-CN"/>
        </w:rPr>
        <w:t>资产</w:t>
      </w:r>
      <w:r>
        <w:rPr>
          <w:rFonts w:hint="eastAsia"/>
          <w:sz w:val="24"/>
          <w:szCs w:val="24"/>
          <w:highlight w:val="none"/>
        </w:rPr>
        <w:t>进行处置等款项核定，并依据相关规定要求甲方实行多退少补。合同解除或终止总结算价=竞得总价-未处置剩余资产评估价。</w:t>
      </w:r>
    </w:p>
    <w:p w14:paraId="1116F225">
      <w:pPr>
        <w:pStyle w:val="2"/>
        <w:spacing w:line="360" w:lineRule="auto"/>
        <w:ind w:firstLine="482" w:firstLineChars="200"/>
        <w:outlineLvl w:val="0"/>
        <w:rPr>
          <w:b/>
          <w:bCs/>
          <w:sz w:val="24"/>
          <w:szCs w:val="24"/>
          <w:highlight w:val="none"/>
        </w:rPr>
      </w:pPr>
      <w:bookmarkStart w:id="25" w:name="_Toc2123"/>
      <w:bookmarkStart w:id="26" w:name="_Toc19309"/>
      <w:bookmarkStart w:id="27" w:name="_Toc22818"/>
      <w:r>
        <w:rPr>
          <w:rFonts w:hint="eastAsia"/>
          <w:b/>
          <w:bCs/>
          <w:sz w:val="24"/>
          <w:szCs w:val="24"/>
          <w:highlight w:val="none"/>
        </w:rPr>
        <w:t>第</w:t>
      </w:r>
      <w:r>
        <w:rPr>
          <w:rFonts w:hint="eastAsia"/>
          <w:b/>
          <w:bCs/>
          <w:sz w:val="24"/>
          <w:szCs w:val="24"/>
          <w:highlight w:val="none"/>
          <w:lang w:val="en-US" w:eastAsia="zh-CN"/>
        </w:rPr>
        <w:t>七</w:t>
      </w:r>
      <w:r>
        <w:rPr>
          <w:rFonts w:hint="eastAsia"/>
          <w:b/>
          <w:bCs/>
          <w:sz w:val="24"/>
          <w:szCs w:val="24"/>
          <w:highlight w:val="none"/>
        </w:rPr>
        <w:t>条    乙</w:t>
      </w:r>
      <w:r>
        <w:rPr>
          <w:rFonts w:hint="eastAsia"/>
          <w:b/>
          <w:bCs/>
          <w:spacing w:val="-3"/>
          <w:sz w:val="24"/>
          <w:szCs w:val="24"/>
          <w:highlight w:val="none"/>
        </w:rPr>
        <w:t>方</w:t>
      </w:r>
      <w:r>
        <w:rPr>
          <w:rFonts w:hint="eastAsia"/>
          <w:b/>
          <w:bCs/>
          <w:sz w:val="24"/>
          <w:szCs w:val="24"/>
          <w:highlight w:val="none"/>
        </w:rPr>
        <w:t>义务</w:t>
      </w:r>
      <w:bookmarkEnd w:id="25"/>
      <w:bookmarkEnd w:id="26"/>
      <w:bookmarkEnd w:id="27"/>
    </w:p>
    <w:p w14:paraId="38543CB3">
      <w:pPr>
        <w:pStyle w:val="2"/>
        <w:spacing w:line="360" w:lineRule="auto"/>
        <w:ind w:firstLine="480" w:firstLineChars="200"/>
        <w:rPr>
          <w:sz w:val="24"/>
          <w:szCs w:val="24"/>
          <w:highlight w:val="none"/>
        </w:rPr>
      </w:pPr>
      <w:r>
        <w:rPr>
          <w:rFonts w:hint="eastAsia"/>
          <w:sz w:val="24"/>
          <w:szCs w:val="24"/>
          <w:highlight w:val="none"/>
        </w:rPr>
        <w:t>（一）按时足额支付本合同约定的</w:t>
      </w:r>
      <w:r>
        <w:rPr>
          <w:rFonts w:hint="eastAsia"/>
          <w:sz w:val="24"/>
          <w:szCs w:val="24"/>
          <w:highlight w:val="none"/>
          <w:lang w:val="en-US" w:eastAsia="zh-CN"/>
        </w:rPr>
        <w:t>履约保证金、</w:t>
      </w:r>
      <w:r>
        <w:rPr>
          <w:rFonts w:hint="eastAsia"/>
          <w:sz w:val="24"/>
          <w:szCs w:val="24"/>
          <w:highlight w:val="none"/>
          <w:lang w:eastAsia="zh-CN"/>
        </w:rPr>
        <w:t>处置</w:t>
      </w:r>
      <w:r>
        <w:rPr>
          <w:rFonts w:hint="eastAsia"/>
          <w:sz w:val="24"/>
          <w:szCs w:val="24"/>
          <w:highlight w:val="none"/>
        </w:rPr>
        <w:t>款等费用。</w:t>
      </w:r>
    </w:p>
    <w:p w14:paraId="09105F86">
      <w:pPr>
        <w:pStyle w:val="2"/>
        <w:spacing w:line="360" w:lineRule="auto"/>
        <w:ind w:firstLine="480" w:firstLineChars="200"/>
        <w:rPr>
          <w:sz w:val="24"/>
          <w:szCs w:val="24"/>
          <w:highlight w:val="none"/>
        </w:rPr>
      </w:pPr>
      <w:r>
        <w:rPr>
          <w:rFonts w:hint="eastAsia"/>
          <w:sz w:val="24"/>
          <w:szCs w:val="24"/>
          <w:highlight w:val="none"/>
        </w:rPr>
        <w:t>（二）本次处置所涉及的土地权属及其地上附着物如固定设施、道路、安全距离、卫生防护距离内的房屋、输电线等相关权属的处置，因补偿、拆迁等问题需与周边村镇及群众协商的事宜，乙方需到地块所在地政府、街道办、权益人充分了解用地权益事宜。乙方</w:t>
      </w:r>
      <w:r>
        <w:rPr>
          <w:rFonts w:hint="eastAsia"/>
          <w:sz w:val="24"/>
          <w:szCs w:val="24"/>
          <w:highlight w:val="none"/>
          <w:lang w:eastAsia="zh-CN"/>
        </w:rPr>
        <w:t>应</w:t>
      </w:r>
      <w:r>
        <w:rPr>
          <w:rFonts w:hint="eastAsia"/>
          <w:sz w:val="24"/>
          <w:szCs w:val="24"/>
          <w:highlight w:val="none"/>
        </w:rPr>
        <w:t>遵循相关法律法规要求作业</w:t>
      </w:r>
      <w:r>
        <w:rPr>
          <w:rFonts w:hint="eastAsia"/>
          <w:sz w:val="24"/>
          <w:szCs w:val="24"/>
          <w:highlight w:val="none"/>
          <w:lang w:eastAsia="zh-CN"/>
        </w:rPr>
        <w:t>，由此导致的</w:t>
      </w:r>
      <w:r>
        <w:rPr>
          <w:rFonts w:hint="eastAsia"/>
          <w:sz w:val="24"/>
          <w:szCs w:val="24"/>
          <w:highlight w:val="none"/>
        </w:rPr>
        <w:t>一切风险和损失</w:t>
      </w:r>
      <w:r>
        <w:rPr>
          <w:rFonts w:hint="eastAsia"/>
          <w:sz w:val="24"/>
          <w:szCs w:val="24"/>
          <w:highlight w:val="none"/>
          <w:lang w:eastAsia="zh-CN"/>
        </w:rPr>
        <w:t>由乙方承担</w:t>
      </w:r>
      <w:r>
        <w:rPr>
          <w:rFonts w:hint="eastAsia"/>
          <w:sz w:val="24"/>
          <w:szCs w:val="24"/>
          <w:highlight w:val="none"/>
        </w:rPr>
        <w:t>。</w:t>
      </w:r>
    </w:p>
    <w:p w14:paraId="542D55B8">
      <w:pPr>
        <w:pStyle w:val="2"/>
        <w:spacing w:line="360" w:lineRule="auto"/>
        <w:ind w:firstLine="480" w:firstLineChars="200"/>
        <w:rPr>
          <w:sz w:val="24"/>
          <w:szCs w:val="24"/>
          <w:highlight w:val="none"/>
        </w:rPr>
      </w:pPr>
      <w:r>
        <w:rPr>
          <w:rFonts w:hint="eastAsia"/>
          <w:sz w:val="24"/>
          <w:szCs w:val="24"/>
          <w:highlight w:val="none"/>
        </w:rPr>
        <w:t>（三）竞得人资产处置完成后15天内需配合政府相关部门及委托方要求对该地块进行平整并覆盖绿植且承担相应费用。</w:t>
      </w:r>
    </w:p>
    <w:p w14:paraId="7DC2E128">
      <w:pPr>
        <w:pStyle w:val="2"/>
        <w:spacing w:line="360" w:lineRule="auto"/>
        <w:ind w:firstLine="480" w:firstLineChars="200"/>
        <w:rPr>
          <w:rFonts w:hint="eastAsia"/>
          <w:sz w:val="24"/>
          <w:szCs w:val="24"/>
          <w:highlight w:val="none"/>
        </w:rPr>
      </w:pPr>
      <w:r>
        <w:rPr>
          <w:rFonts w:hint="eastAsia"/>
          <w:sz w:val="24"/>
          <w:szCs w:val="24"/>
          <w:highlight w:val="none"/>
        </w:rPr>
        <w:t>（三）由于资产处置过程中存在不可预见的风险，竞得人需承担相应的风险。</w:t>
      </w:r>
    </w:p>
    <w:p w14:paraId="503D7583">
      <w:pPr>
        <w:pStyle w:val="2"/>
        <w:spacing w:line="360" w:lineRule="auto"/>
        <w:ind w:firstLine="480" w:firstLineChars="200"/>
        <w:rPr>
          <w:rFonts w:hint="eastAsia"/>
          <w:sz w:val="24"/>
          <w:szCs w:val="24"/>
          <w:highlight w:val="none"/>
        </w:rPr>
      </w:pPr>
      <w:r>
        <w:rPr>
          <w:rFonts w:hint="eastAsia"/>
          <w:sz w:val="24"/>
          <w:szCs w:val="24"/>
          <w:highlight w:val="none"/>
        </w:rPr>
        <w:t>（四）竞得人自行实施处置本次处置标的所有事宜，包括但报建、报批和备案手续等并承担费用，竞得人应就上述事宜到各相关职能部门进行充分问询，预估办理难度。委托方可协助竞得人进行前述工作，但相关结果以及责任由竞得人自行承担。</w:t>
      </w:r>
    </w:p>
    <w:p w14:paraId="4B566F9C">
      <w:pPr>
        <w:pStyle w:val="2"/>
        <w:spacing w:line="360" w:lineRule="auto"/>
        <w:ind w:firstLine="480" w:firstLineChars="200"/>
        <w:rPr>
          <w:rFonts w:hint="eastAsia"/>
          <w:sz w:val="24"/>
          <w:szCs w:val="24"/>
          <w:highlight w:val="none"/>
        </w:rPr>
      </w:pPr>
      <w:r>
        <w:rPr>
          <w:rFonts w:hint="eastAsia"/>
          <w:sz w:val="24"/>
          <w:szCs w:val="24"/>
          <w:highlight w:val="none"/>
        </w:rPr>
        <w:t>（五）施工用水、用电由竞得人负责根据处置需要自行解决，并承担实际用水、用电产生的费用。处置范围内的临时便道及临时排水设施由竞得人负责根据施工需要修筑并维护。</w:t>
      </w:r>
    </w:p>
    <w:p w14:paraId="7E039FCC">
      <w:pPr>
        <w:pStyle w:val="2"/>
        <w:spacing w:line="360" w:lineRule="auto"/>
        <w:ind w:firstLine="480" w:firstLineChars="200"/>
        <w:rPr>
          <w:rFonts w:hint="eastAsia"/>
          <w:sz w:val="24"/>
          <w:szCs w:val="24"/>
          <w:highlight w:val="none"/>
        </w:rPr>
      </w:pPr>
      <w:r>
        <w:rPr>
          <w:rFonts w:hint="eastAsia"/>
          <w:sz w:val="24"/>
          <w:szCs w:val="24"/>
          <w:highlight w:val="none"/>
        </w:rPr>
        <w:t>（六）竞得人必须依法对该资产进行处置，严格按照相关要求进行作业，遵循相关部门的要求，做好安全生产、扬尘防护等相关工作，防止环境污染。</w:t>
      </w:r>
    </w:p>
    <w:p w14:paraId="480E3EDD">
      <w:pPr>
        <w:pStyle w:val="2"/>
        <w:spacing w:line="360" w:lineRule="auto"/>
        <w:ind w:firstLine="480" w:firstLineChars="200"/>
        <w:rPr>
          <w:rFonts w:hint="eastAsia"/>
          <w:sz w:val="24"/>
          <w:szCs w:val="24"/>
          <w:highlight w:val="none"/>
        </w:rPr>
      </w:pPr>
      <w:r>
        <w:rPr>
          <w:rFonts w:hint="eastAsia"/>
          <w:sz w:val="24"/>
          <w:szCs w:val="24"/>
          <w:highlight w:val="none"/>
        </w:rPr>
        <w:t>（七）竞得人在生产过程中须严格遵守安全生产和环境保护等相关法律法规，因安全事故、破坏环境等造成损失的，由竞得人自行承担后果。</w:t>
      </w:r>
    </w:p>
    <w:p w14:paraId="734F166F">
      <w:pPr>
        <w:pStyle w:val="2"/>
        <w:spacing w:line="360" w:lineRule="auto"/>
        <w:ind w:firstLine="480" w:firstLineChars="200"/>
        <w:rPr>
          <w:rFonts w:hint="eastAsia"/>
          <w:sz w:val="24"/>
          <w:szCs w:val="24"/>
          <w:highlight w:val="none"/>
        </w:rPr>
      </w:pPr>
      <w:r>
        <w:rPr>
          <w:rFonts w:hint="eastAsia"/>
          <w:sz w:val="24"/>
          <w:szCs w:val="24"/>
          <w:highlight w:val="none"/>
        </w:rPr>
        <w:t>（八）本次处置的资产产生的建筑垃圾需竞得人自行外运，涉及地块上的垃圾处置所需要的进出场道路、场区管理等事宜由竞得人根据需要与相关单位自行沟通。竞得人在生产过程中运输车辆必须依法取得车辆营运证，并按规定履行报备手续，须遵守公路车辆运输超载超限治理的相关规定，因车辆超限超载等问题致使停产停工而造成损失的，由竞得人自行承担后果。</w:t>
      </w:r>
    </w:p>
    <w:p w14:paraId="4029650F">
      <w:pPr>
        <w:pStyle w:val="2"/>
        <w:spacing w:line="360" w:lineRule="auto"/>
        <w:ind w:firstLine="480" w:firstLineChars="200"/>
        <w:rPr>
          <w:rFonts w:hint="eastAsia"/>
          <w:sz w:val="24"/>
          <w:szCs w:val="24"/>
          <w:highlight w:val="none"/>
        </w:rPr>
      </w:pPr>
      <w:r>
        <w:rPr>
          <w:rFonts w:hint="eastAsia"/>
          <w:sz w:val="24"/>
          <w:szCs w:val="24"/>
          <w:highlight w:val="none"/>
        </w:rPr>
        <w:t>（九）竞得人须严格按照《广东省建筑垃圾管理条例》以及我市《关于进一步规范全市建筑装修垃圾处置管理工作的意见》《惠州市建筑垃圾处置核准工作指引（试行）》等相关政策文件的规定处置本项目建筑垃圾。</w:t>
      </w:r>
    </w:p>
    <w:p w14:paraId="6A09FA34">
      <w:pPr>
        <w:pStyle w:val="2"/>
        <w:spacing w:line="360" w:lineRule="auto"/>
        <w:ind w:firstLine="480" w:firstLineChars="200"/>
        <w:rPr>
          <w:rFonts w:hint="eastAsia"/>
          <w:sz w:val="24"/>
          <w:szCs w:val="24"/>
          <w:highlight w:val="none"/>
        </w:rPr>
      </w:pPr>
      <w:r>
        <w:rPr>
          <w:rFonts w:hint="eastAsia"/>
          <w:sz w:val="24"/>
          <w:szCs w:val="24"/>
          <w:highlight w:val="none"/>
        </w:rPr>
        <w:t>（十）竞得人在资产处置过程中，与当地群众发生一切纠纷（地质环境、生态环境、水资源、生活环境、基础设施等纠纷）未妥善解决导致资产处置被依法叫停的，由竞得人自行负责经济损失，并在恢复生产前由竞得人依法依规妥善解决纠纷问题。</w:t>
      </w:r>
    </w:p>
    <w:p w14:paraId="32FC08FE">
      <w:pPr>
        <w:pStyle w:val="2"/>
        <w:spacing w:line="360" w:lineRule="auto"/>
        <w:ind w:firstLine="480" w:firstLineChars="200"/>
        <w:rPr>
          <w:rFonts w:hint="eastAsia"/>
          <w:sz w:val="24"/>
          <w:szCs w:val="24"/>
          <w:highlight w:val="none"/>
        </w:rPr>
      </w:pPr>
      <w:r>
        <w:rPr>
          <w:rFonts w:hint="eastAsia"/>
          <w:sz w:val="24"/>
          <w:szCs w:val="24"/>
          <w:highlight w:val="none"/>
        </w:rPr>
        <w:t>（十一）因处置资产使国家或他人遭受损失的，竞得人应当负责赔偿并承担相应法律责任。</w:t>
      </w:r>
    </w:p>
    <w:p w14:paraId="0A201AF1">
      <w:pPr>
        <w:pStyle w:val="2"/>
        <w:spacing w:line="360" w:lineRule="auto"/>
        <w:ind w:firstLine="480" w:firstLineChars="200"/>
        <w:rPr>
          <w:rFonts w:hint="eastAsia"/>
          <w:sz w:val="24"/>
          <w:szCs w:val="24"/>
          <w:highlight w:val="none"/>
        </w:rPr>
      </w:pPr>
      <w:r>
        <w:rPr>
          <w:rFonts w:hint="eastAsia"/>
          <w:sz w:val="24"/>
          <w:szCs w:val="24"/>
          <w:highlight w:val="none"/>
        </w:rPr>
        <w:t>（十二）竞得人须设置围挡对地块进行封闭式管理。</w:t>
      </w:r>
    </w:p>
    <w:p w14:paraId="0D1E1980">
      <w:pPr>
        <w:pStyle w:val="2"/>
        <w:spacing w:line="360" w:lineRule="auto"/>
        <w:ind w:firstLine="480" w:firstLineChars="200"/>
        <w:rPr>
          <w:rFonts w:hint="eastAsia"/>
          <w:sz w:val="24"/>
          <w:szCs w:val="24"/>
          <w:highlight w:val="none"/>
        </w:rPr>
      </w:pPr>
      <w:r>
        <w:rPr>
          <w:rFonts w:hint="eastAsia"/>
          <w:sz w:val="24"/>
          <w:szCs w:val="24"/>
          <w:highlight w:val="none"/>
        </w:rPr>
        <w:t>（十三）因资产处置所依据的客观情况发生重大变化，为了公共利益的需要或应有关部门要求等导致委托方解除合同或合同终止，或者由于土地使用、工作范围变化及其他各种原因经双方协商一致进行合同解除或终止的，竞得人有权申请按照剩余资产进行资产处置等款项核定，并依据相关规定要求委托方实行多退少补。合同解除或终止总结算价=竞得总价-未处置剩余资产评估价。</w:t>
      </w:r>
    </w:p>
    <w:p w14:paraId="69761216">
      <w:pPr>
        <w:pStyle w:val="2"/>
        <w:tabs>
          <w:tab w:val="left" w:pos="1908"/>
        </w:tabs>
        <w:spacing w:line="360" w:lineRule="auto"/>
        <w:ind w:firstLine="480" w:firstLineChars="200"/>
        <w:outlineLvl w:val="0"/>
        <w:rPr>
          <w:rFonts w:hint="eastAsia"/>
          <w:b/>
          <w:bCs/>
          <w:sz w:val="24"/>
          <w:szCs w:val="24"/>
          <w:highlight w:val="none"/>
        </w:rPr>
      </w:pPr>
      <w:r>
        <w:rPr>
          <w:rFonts w:hint="eastAsia"/>
          <w:sz w:val="24"/>
          <w:szCs w:val="24"/>
          <w:highlight w:val="none"/>
        </w:rPr>
        <w:t>（十四）竞得人需要遵守其他法律、法规、规章及政策规定，自觉接受相关职能部门的监督管理。</w:t>
      </w:r>
      <w:bookmarkStart w:id="28" w:name="_Toc11188"/>
      <w:bookmarkStart w:id="29" w:name="_Toc15014"/>
      <w:bookmarkStart w:id="30" w:name="_Toc760"/>
    </w:p>
    <w:p w14:paraId="6E13943C">
      <w:pPr>
        <w:pStyle w:val="2"/>
        <w:tabs>
          <w:tab w:val="left" w:pos="1908"/>
        </w:tabs>
        <w:spacing w:line="360" w:lineRule="auto"/>
        <w:ind w:firstLine="482" w:firstLineChars="200"/>
        <w:outlineLvl w:val="0"/>
        <w:rPr>
          <w:b/>
          <w:bCs/>
          <w:sz w:val="24"/>
          <w:szCs w:val="24"/>
          <w:highlight w:val="none"/>
        </w:rPr>
      </w:pPr>
      <w:r>
        <w:rPr>
          <w:rFonts w:hint="eastAsia"/>
          <w:b/>
          <w:bCs/>
          <w:sz w:val="24"/>
          <w:szCs w:val="24"/>
          <w:highlight w:val="none"/>
        </w:rPr>
        <w:t>第</w:t>
      </w:r>
      <w:r>
        <w:rPr>
          <w:rFonts w:hint="eastAsia"/>
          <w:b/>
          <w:bCs/>
          <w:sz w:val="24"/>
          <w:szCs w:val="24"/>
          <w:highlight w:val="none"/>
          <w:lang w:val="en-US" w:eastAsia="zh-CN"/>
        </w:rPr>
        <w:t>八</w:t>
      </w:r>
      <w:r>
        <w:rPr>
          <w:rFonts w:hint="eastAsia"/>
          <w:b/>
          <w:bCs/>
          <w:sz w:val="24"/>
          <w:szCs w:val="24"/>
          <w:highlight w:val="none"/>
        </w:rPr>
        <w:t>条</w:t>
      </w:r>
      <w:r>
        <w:rPr>
          <w:rFonts w:hint="eastAsia"/>
          <w:b/>
          <w:bCs/>
          <w:sz w:val="24"/>
          <w:szCs w:val="24"/>
          <w:highlight w:val="none"/>
          <w:lang w:val="en-US" w:eastAsia="zh-CN"/>
        </w:rPr>
        <w:t xml:space="preserve">    </w:t>
      </w:r>
      <w:r>
        <w:rPr>
          <w:rFonts w:hint="eastAsia"/>
          <w:b/>
          <w:bCs/>
          <w:spacing w:val="-1"/>
          <w:sz w:val="24"/>
          <w:szCs w:val="24"/>
          <w:highlight w:val="none"/>
        </w:rPr>
        <w:t>违</w:t>
      </w:r>
      <w:r>
        <w:rPr>
          <w:rFonts w:hint="eastAsia"/>
          <w:b/>
          <w:bCs/>
          <w:spacing w:val="-3"/>
          <w:sz w:val="24"/>
          <w:szCs w:val="24"/>
          <w:highlight w:val="none"/>
        </w:rPr>
        <w:t>约</w:t>
      </w:r>
      <w:r>
        <w:rPr>
          <w:rFonts w:hint="eastAsia"/>
          <w:b/>
          <w:bCs/>
          <w:spacing w:val="-1"/>
          <w:sz w:val="24"/>
          <w:szCs w:val="24"/>
          <w:highlight w:val="none"/>
        </w:rPr>
        <w:t>责</w:t>
      </w:r>
      <w:r>
        <w:rPr>
          <w:rFonts w:hint="eastAsia"/>
          <w:b/>
          <w:bCs/>
          <w:sz w:val="24"/>
          <w:szCs w:val="24"/>
          <w:highlight w:val="none"/>
        </w:rPr>
        <w:t>任</w:t>
      </w:r>
      <w:bookmarkEnd w:id="28"/>
      <w:bookmarkEnd w:id="29"/>
      <w:bookmarkEnd w:id="30"/>
    </w:p>
    <w:p w14:paraId="002AACF3">
      <w:pPr>
        <w:pStyle w:val="2"/>
        <w:spacing w:line="360" w:lineRule="auto"/>
        <w:ind w:firstLine="480" w:firstLineChars="200"/>
        <w:rPr>
          <w:sz w:val="24"/>
          <w:szCs w:val="24"/>
          <w:highlight w:val="none"/>
        </w:rPr>
      </w:pPr>
      <w:r>
        <w:rPr>
          <w:rFonts w:hint="eastAsia"/>
          <w:sz w:val="24"/>
          <w:szCs w:val="24"/>
          <w:highlight w:val="none"/>
        </w:rPr>
        <w:t>（一）乙方须足额支付本合同项下款项。若</w:t>
      </w:r>
      <w:r>
        <w:rPr>
          <w:rFonts w:hint="eastAsia"/>
          <w:sz w:val="24"/>
          <w:szCs w:val="24"/>
          <w:highlight w:val="none"/>
          <w:lang w:eastAsia="zh-CN"/>
        </w:rPr>
        <w:t>延期付款超过</w:t>
      </w:r>
      <w:r>
        <w:rPr>
          <w:rFonts w:hint="eastAsia"/>
          <w:sz w:val="24"/>
          <w:szCs w:val="24"/>
          <w:highlight w:val="none"/>
          <w:lang w:val="en-US" w:eastAsia="zh-CN"/>
        </w:rPr>
        <w:t>15天后</w:t>
      </w:r>
      <w:r>
        <w:rPr>
          <w:rFonts w:hint="eastAsia"/>
          <w:sz w:val="24"/>
          <w:szCs w:val="24"/>
          <w:highlight w:val="none"/>
        </w:rPr>
        <w:t>未付金额部分按每天万分之三点八向甲方支付违约金</w:t>
      </w:r>
      <w:r>
        <w:rPr>
          <w:rFonts w:hint="eastAsia"/>
          <w:sz w:val="24"/>
          <w:szCs w:val="24"/>
          <w:highlight w:val="none"/>
          <w:lang w:val="en-US" w:eastAsia="zh-CN"/>
        </w:rPr>
        <w:t>；</w:t>
      </w:r>
      <w:r>
        <w:rPr>
          <w:rFonts w:hint="eastAsia"/>
          <w:sz w:val="24"/>
          <w:szCs w:val="24"/>
          <w:highlight w:val="none"/>
        </w:rPr>
        <w:t>若</w:t>
      </w:r>
      <w:r>
        <w:rPr>
          <w:rFonts w:hint="eastAsia"/>
          <w:sz w:val="24"/>
          <w:szCs w:val="24"/>
          <w:highlight w:val="none"/>
          <w:lang w:val="en-US" w:eastAsia="zh-CN"/>
        </w:rPr>
        <w:t>乙方</w:t>
      </w:r>
      <w:r>
        <w:rPr>
          <w:rFonts w:hint="eastAsia"/>
          <w:sz w:val="24"/>
          <w:szCs w:val="24"/>
          <w:highlight w:val="none"/>
        </w:rPr>
        <w:t>连续或累计</w:t>
      </w:r>
      <w:r>
        <w:rPr>
          <w:rFonts w:hint="eastAsia"/>
          <w:sz w:val="24"/>
          <w:szCs w:val="24"/>
          <w:highlight w:val="none"/>
          <w:lang w:eastAsia="zh-CN"/>
        </w:rPr>
        <w:t>三</w:t>
      </w:r>
      <w:r>
        <w:rPr>
          <w:rFonts w:hint="eastAsia"/>
          <w:sz w:val="24"/>
          <w:szCs w:val="24"/>
          <w:highlight w:val="none"/>
        </w:rPr>
        <w:t>个月</w:t>
      </w:r>
      <w:r>
        <w:rPr>
          <w:rFonts w:hint="eastAsia"/>
          <w:sz w:val="24"/>
          <w:szCs w:val="24"/>
          <w:highlight w:val="none"/>
          <w:lang w:eastAsia="zh-CN"/>
        </w:rPr>
        <w:t>未足额</w:t>
      </w:r>
      <w:r>
        <w:rPr>
          <w:rFonts w:hint="eastAsia"/>
          <w:sz w:val="24"/>
          <w:szCs w:val="24"/>
          <w:highlight w:val="none"/>
        </w:rPr>
        <w:t>支付金额，则甲方有权</w:t>
      </w:r>
      <w:r>
        <w:rPr>
          <w:rFonts w:hint="eastAsia"/>
          <w:sz w:val="24"/>
          <w:szCs w:val="24"/>
          <w:highlight w:val="none"/>
          <w:lang w:val="en-US" w:eastAsia="zh-CN"/>
        </w:rPr>
        <w:t>单方解除合同，并</w:t>
      </w:r>
      <w:r>
        <w:rPr>
          <w:rFonts w:hint="eastAsia"/>
          <w:sz w:val="24"/>
          <w:szCs w:val="24"/>
          <w:highlight w:val="none"/>
          <w:lang w:eastAsia="zh-CN"/>
        </w:rPr>
        <w:t>向资产处置所在地</w:t>
      </w:r>
      <w:r>
        <w:rPr>
          <w:rFonts w:hint="eastAsia"/>
          <w:sz w:val="24"/>
          <w:szCs w:val="24"/>
          <w:highlight w:val="none"/>
          <w:lang w:val="en-US" w:eastAsia="zh-CN"/>
        </w:rPr>
        <w:t>有管辖权的</w:t>
      </w:r>
      <w:r>
        <w:rPr>
          <w:rFonts w:hint="eastAsia"/>
          <w:sz w:val="24"/>
          <w:szCs w:val="24"/>
          <w:highlight w:val="none"/>
          <w:lang w:eastAsia="zh-CN"/>
        </w:rPr>
        <w:t>人民法院起诉</w:t>
      </w:r>
      <w:r>
        <w:rPr>
          <w:rFonts w:hint="eastAsia"/>
          <w:sz w:val="24"/>
          <w:szCs w:val="24"/>
          <w:highlight w:val="none"/>
        </w:rPr>
        <w:t>。</w:t>
      </w:r>
    </w:p>
    <w:p w14:paraId="0039902B">
      <w:pPr>
        <w:pStyle w:val="2"/>
        <w:spacing w:line="360" w:lineRule="auto"/>
        <w:ind w:firstLine="480" w:firstLineChars="200"/>
        <w:rPr>
          <w:sz w:val="24"/>
          <w:szCs w:val="24"/>
          <w:highlight w:val="none"/>
        </w:rPr>
      </w:pPr>
      <w:r>
        <w:rPr>
          <w:rFonts w:hint="eastAsia"/>
          <w:sz w:val="24"/>
          <w:szCs w:val="24"/>
          <w:highlight w:val="none"/>
        </w:rPr>
        <w:t>（二）在合同履行过程中如发现乙方未按照合同要求进行施工、处置等，乙方在接到甲方的第一次书面整改通知后，5天内必须整改合格，否则，乙方应按</w:t>
      </w:r>
      <w:r>
        <w:rPr>
          <w:rFonts w:hint="eastAsia"/>
          <w:sz w:val="24"/>
          <w:szCs w:val="24"/>
          <w:highlight w:val="none"/>
          <w:lang w:val="en-US" w:eastAsia="zh-CN"/>
        </w:rPr>
        <w:t>1</w:t>
      </w:r>
      <w:r>
        <w:rPr>
          <w:rFonts w:hint="eastAsia"/>
          <w:sz w:val="24"/>
          <w:szCs w:val="24"/>
          <w:highlight w:val="none"/>
        </w:rPr>
        <w:t>0000元/次向甲方支付违约金。如乙方严重违反本合同约定且拒不改正，甲方有权向乙方发出书面解除通知，单方解除本合同，</w:t>
      </w:r>
      <w:r>
        <w:rPr>
          <w:rFonts w:hint="eastAsia"/>
          <w:sz w:val="24"/>
          <w:szCs w:val="24"/>
          <w:highlight w:val="none"/>
          <w:lang w:val="en-US" w:eastAsia="zh-CN"/>
        </w:rPr>
        <w:t>合同自</w:t>
      </w:r>
      <w:r>
        <w:rPr>
          <w:rFonts w:hint="eastAsia"/>
          <w:sz w:val="24"/>
          <w:szCs w:val="24"/>
          <w:highlight w:val="none"/>
        </w:rPr>
        <w:t>解除通知送达乙方之日</w:t>
      </w:r>
      <w:r>
        <w:rPr>
          <w:rFonts w:hint="eastAsia"/>
          <w:sz w:val="24"/>
          <w:szCs w:val="24"/>
          <w:highlight w:val="none"/>
          <w:lang w:val="en-US" w:eastAsia="zh-CN"/>
        </w:rPr>
        <w:t>起</w:t>
      </w:r>
      <w:r>
        <w:rPr>
          <w:rFonts w:hint="eastAsia"/>
          <w:sz w:val="24"/>
          <w:szCs w:val="24"/>
          <w:highlight w:val="none"/>
        </w:rPr>
        <w:t>解除</w:t>
      </w:r>
      <w:r>
        <w:rPr>
          <w:rFonts w:hint="eastAsia"/>
          <w:sz w:val="24"/>
          <w:szCs w:val="24"/>
          <w:highlight w:val="none"/>
          <w:lang w:eastAsia="zh-CN"/>
        </w:rPr>
        <w:t>，</w:t>
      </w:r>
      <w:r>
        <w:rPr>
          <w:rFonts w:hint="eastAsia"/>
          <w:sz w:val="24"/>
          <w:szCs w:val="24"/>
          <w:highlight w:val="none"/>
        </w:rPr>
        <w:t>并没收乙方已支付的所有款项。</w:t>
      </w:r>
    </w:p>
    <w:p w14:paraId="3B5C6357">
      <w:pPr>
        <w:pStyle w:val="2"/>
        <w:tabs>
          <w:tab w:val="left" w:pos="1908"/>
        </w:tabs>
        <w:spacing w:line="360" w:lineRule="auto"/>
        <w:ind w:firstLine="482" w:firstLineChars="200"/>
        <w:outlineLvl w:val="0"/>
        <w:rPr>
          <w:b/>
          <w:bCs/>
          <w:sz w:val="24"/>
          <w:szCs w:val="24"/>
          <w:highlight w:val="none"/>
        </w:rPr>
      </w:pPr>
      <w:bookmarkStart w:id="31" w:name="_Toc18940"/>
      <w:bookmarkStart w:id="32" w:name="_Toc4757"/>
      <w:bookmarkStart w:id="33" w:name="_Toc19589"/>
      <w:r>
        <w:rPr>
          <w:rFonts w:hint="eastAsia"/>
          <w:b/>
          <w:bCs/>
          <w:sz w:val="24"/>
          <w:szCs w:val="24"/>
          <w:highlight w:val="none"/>
        </w:rPr>
        <w:t>第</w:t>
      </w:r>
      <w:r>
        <w:rPr>
          <w:rFonts w:hint="eastAsia"/>
          <w:b/>
          <w:bCs/>
          <w:sz w:val="24"/>
          <w:szCs w:val="24"/>
          <w:highlight w:val="none"/>
          <w:lang w:val="en-US" w:eastAsia="zh-CN"/>
        </w:rPr>
        <w:t>九</w:t>
      </w:r>
      <w:r>
        <w:rPr>
          <w:rFonts w:hint="eastAsia"/>
          <w:b/>
          <w:bCs/>
          <w:sz w:val="24"/>
          <w:szCs w:val="24"/>
          <w:highlight w:val="none"/>
        </w:rPr>
        <w:t>条</w:t>
      </w:r>
      <w:r>
        <w:rPr>
          <w:rFonts w:hint="eastAsia"/>
          <w:b/>
          <w:bCs/>
          <w:sz w:val="24"/>
          <w:szCs w:val="24"/>
          <w:highlight w:val="none"/>
          <w:lang w:val="en-US" w:eastAsia="zh-CN"/>
        </w:rPr>
        <w:t xml:space="preserve">    </w:t>
      </w:r>
      <w:r>
        <w:rPr>
          <w:rFonts w:hint="eastAsia"/>
          <w:b/>
          <w:bCs/>
          <w:sz w:val="24"/>
          <w:szCs w:val="24"/>
          <w:highlight w:val="none"/>
        </w:rPr>
        <w:t>特</w:t>
      </w:r>
      <w:r>
        <w:rPr>
          <w:rFonts w:hint="eastAsia"/>
          <w:b/>
          <w:bCs/>
          <w:spacing w:val="-3"/>
          <w:sz w:val="24"/>
          <w:szCs w:val="24"/>
          <w:highlight w:val="none"/>
        </w:rPr>
        <w:t>别</w:t>
      </w:r>
      <w:r>
        <w:rPr>
          <w:rFonts w:hint="eastAsia"/>
          <w:b/>
          <w:bCs/>
          <w:sz w:val="24"/>
          <w:szCs w:val="24"/>
          <w:highlight w:val="none"/>
        </w:rPr>
        <w:t>约定</w:t>
      </w:r>
      <w:bookmarkEnd w:id="31"/>
      <w:bookmarkEnd w:id="32"/>
      <w:bookmarkEnd w:id="33"/>
    </w:p>
    <w:p w14:paraId="7F246861">
      <w:pPr>
        <w:pStyle w:val="2"/>
        <w:spacing w:line="360" w:lineRule="auto"/>
        <w:ind w:firstLine="480" w:firstLineChars="200"/>
        <w:rPr>
          <w:sz w:val="24"/>
          <w:szCs w:val="24"/>
          <w:highlight w:val="none"/>
        </w:rPr>
      </w:pPr>
      <w:r>
        <w:rPr>
          <w:rFonts w:hint="eastAsia"/>
          <w:sz w:val="24"/>
          <w:szCs w:val="24"/>
          <w:highlight w:val="none"/>
        </w:rPr>
        <w:t>乙方在</w:t>
      </w:r>
      <w:r>
        <w:rPr>
          <w:rFonts w:hint="eastAsia"/>
          <w:sz w:val="24"/>
          <w:szCs w:val="24"/>
          <w:highlight w:val="none"/>
          <w:lang w:val="en-US" w:eastAsia="zh-CN"/>
        </w:rPr>
        <w:t>资产</w:t>
      </w:r>
      <w:r>
        <w:rPr>
          <w:rFonts w:hint="eastAsia"/>
          <w:sz w:val="24"/>
          <w:szCs w:val="24"/>
          <w:highlight w:val="none"/>
        </w:rPr>
        <w:t>处置完成或合同解除后，需按相关要求对项目场地进行平整</w:t>
      </w:r>
      <w:r>
        <w:rPr>
          <w:rFonts w:hint="eastAsia"/>
          <w:sz w:val="24"/>
          <w:szCs w:val="24"/>
          <w:highlight w:val="none"/>
          <w:lang w:eastAsia="zh-CN"/>
        </w:rPr>
        <w:t>并覆绿</w:t>
      </w:r>
      <w:r>
        <w:rPr>
          <w:rFonts w:hint="eastAsia"/>
          <w:sz w:val="24"/>
          <w:szCs w:val="24"/>
          <w:highlight w:val="none"/>
        </w:rPr>
        <w:t>，平整情况经甲方及政府主管部门验收合格且乙方无违约行为的，甲方将履约保证金无息退还给乙方。否则，未平整好的实际场地平整费用</w:t>
      </w:r>
      <w:r>
        <w:rPr>
          <w:rFonts w:hint="eastAsia"/>
          <w:sz w:val="24"/>
          <w:szCs w:val="24"/>
          <w:highlight w:val="none"/>
          <w:lang w:eastAsia="zh-CN"/>
        </w:rPr>
        <w:t>及覆绿</w:t>
      </w:r>
      <w:r>
        <w:rPr>
          <w:rFonts w:hint="eastAsia"/>
          <w:sz w:val="24"/>
          <w:szCs w:val="24"/>
          <w:highlight w:val="none"/>
        </w:rPr>
        <w:t>甲方有权直接在履约保证金中相应扣除。</w:t>
      </w:r>
    </w:p>
    <w:p w14:paraId="32C55DBB">
      <w:pPr>
        <w:pStyle w:val="2"/>
        <w:tabs>
          <w:tab w:val="left" w:pos="2187"/>
        </w:tabs>
        <w:spacing w:line="360" w:lineRule="auto"/>
        <w:ind w:firstLine="482" w:firstLineChars="200"/>
        <w:outlineLvl w:val="0"/>
        <w:rPr>
          <w:b/>
          <w:bCs/>
          <w:sz w:val="24"/>
          <w:szCs w:val="24"/>
          <w:highlight w:val="none"/>
        </w:rPr>
      </w:pPr>
      <w:bookmarkStart w:id="34" w:name="_Toc15356"/>
      <w:bookmarkStart w:id="35" w:name="_Toc24473"/>
      <w:bookmarkStart w:id="36" w:name="_Toc3839"/>
      <w:r>
        <w:rPr>
          <w:rFonts w:hint="eastAsia"/>
          <w:b/>
          <w:bCs/>
          <w:sz w:val="24"/>
          <w:szCs w:val="24"/>
          <w:highlight w:val="none"/>
        </w:rPr>
        <w:t>第</w:t>
      </w:r>
      <w:r>
        <w:rPr>
          <w:rFonts w:hint="eastAsia"/>
          <w:b/>
          <w:bCs/>
          <w:spacing w:val="-3"/>
          <w:sz w:val="24"/>
          <w:szCs w:val="24"/>
          <w:highlight w:val="none"/>
        </w:rPr>
        <w:t>十</w:t>
      </w:r>
      <w:r>
        <w:rPr>
          <w:rFonts w:hint="eastAsia"/>
          <w:b/>
          <w:bCs/>
          <w:sz w:val="24"/>
          <w:szCs w:val="24"/>
          <w:highlight w:val="none"/>
        </w:rPr>
        <w:t>条</w:t>
      </w:r>
      <w:r>
        <w:rPr>
          <w:rFonts w:hint="eastAsia"/>
          <w:b/>
          <w:bCs/>
          <w:sz w:val="24"/>
          <w:szCs w:val="24"/>
          <w:highlight w:val="none"/>
          <w:lang w:val="en-US" w:eastAsia="zh-CN"/>
        </w:rPr>
        <w:t xml:space="preserve">    </w:t>
      </w:r>
      <w:r>
        <w:rPr>
          <w:rFonts w:hint="eastAsia"/>
          <w:b/>
          <w:bCs/>
          <w:sz w:val="24"/>
          <w:szCs w:val="24"/>
          <w:highlight w:val="none"/>
        </w:rPr>
        <w:t>其</w:t>
      </w:r>
      <w:r>
        <w:rPr>
          <w:rFonts w:hint="eastAsia"/>
          <w:b/>
          <w:bCs/>
          <w:spacing w:val="-3"/>
          <w:sz w:val="24"/>
          <w:szCs w:val="24"/>
          <w:highlight w:val="none"/>
        </w:rPr>
        <w:t>他</w:t>
      </w:r>
      <w:r>
        <w:rPr>
          <w:rFonts w:hint="eastAsia"/>
          <w:b/>
          <w:bCs/>
          <w:sz w:val="24"/>
          <w:szCs w:val="24"/>
          <w:highlight w:val="none"/>
        </w:rPr>
        <w:t>约定</w:t>
      </w:r>
      <w:bookmarkEnd w:id="34"/>
      <w:bookmarkEnd w:id="35"/>
      <w:bookmarkEnd w:id="36"/>
    </w:p>
    <w:p w14:paraId="58A99896">
      <w:pPr>
        <w:pStyle w:val="2"/>
        <w:spacing w:line="360" w:lineRule="auto"/>
        <w:ind w:firstLine="480" w:firstLineChars="200"/>
        <w:rPr>
          <w:sz w:val="24"/>
          <w:szCs w:val="24"/>
          <w:highlight w:val="none"/>
        </w:rPr>
      </w:pPr>
      <w:r>
        <w:rPr>
          <w:rFonts w:hint="eastAsia"/>
          <w:sz w:val="24"/>
          <w:szCs w:val="24"/>
          <w:highlight w:val="none"/>
        </w:rPr>
        <w:t>（一）乙方因处置工作违反相关规定产生的违法违规行为，由相关主管部门依法依规进行处理处罚，具体内容不在合同中约定。</w:t>
      </w:r>
    </w:p>
    <w:p w14:paraId="7D4FA188">
      <w:pPr>
        <w:pStyle w:val="2"/>
        <w:spacing w:line="360" w:lineRule="auto"/>
        <w:ind w:firstLine="480" w:firstLineChars="200"/>
        <w:rPr>
          <w:sz w:val="24"/>
          <w:szCs w:val="24"/>
          <w:highlight w:val="none"/>
        </w:rPr>
      </w:pPr>
      <w:r>
        <w:rPr>
          <w:rFonts w:hint="eastAsia"/>
          <w:sz w:val="24"/>
          <w:szCs w:val="24"/>
          <w:highlight w:val="none"/>
        </w:rPr>
        <w:t>（二）因乙方原因导致甲方单方解除合同的或合同自动解除的，甲方有权依法依规收回未处置的</w:t>
      </w:r>
      <w:r>
        <w:rPr>
          <w:rFonts w:hint="eastAsia"/>
          <w:sz w:val="24"/>
          <w:szCs w:val="24"/>
          <w:highlight w:val="none"/>
          <w:lang w:val="en-US" w:eastAsia="zh-CN"/>
        </w:rPr>
        <w:t>资产</w:t>
      </w:r>
      <w:r>
        <w:rPr>
          <w:rFonts w:hint="eastAsia"/>
          <w:sz w:val="24"/>
          <w:szCs w:val="24"/>
          <w:highlight w:val="none"/>
        </w:rPr>
        <w:t>，乙方已支付的</w:t>
      </w:r>
      <w:r>
        <w:rPr>
          <w:rFonts w:hint="eastAsia"/>
          <w:sz w:val="24"/>
          <w:szCs w:val="24"/>
          <w:highlight w:val="none"/>
          <w:lang w:val="en-US" w:eastAsia="zh-CN"/>
        </w:rPr>
        <w:t>所有</w:t>
      </w:r>
      <w:r>
        <w:rPr>
          <w:rFonts w:hint="eastAsia"/>
          <w:sz w:val="24"/>
          <w:szCs w:val="24"/>
          <w:highlight w:val="none"/>
        </w:rPr>
        <w:t>款项不予返还；因乙方原因造成甲方损失的，乙方应当向甲方承担赔偿责任。</w:t>
      </w:r>
    </w:p>
    <w:p w14:paraId="72F4E5F3">
      <w:pPr>
        <w:pStyle w:val="2"/>
        <w:spacing w:line="360" w:lineRule="auto"/>
        <w:ind w:firstLine="480" w:firstLineChars="200"/>
        <w:rPr>
          <w:sz w:val="24"/>
          <w:szCs w:val="24"/>
          <w:highlight w:val="none"/>
        </w:rPr>
      </w:pPr>
      <w:r>
        <w:rPr>
          <w:rFonts w:hint="eastAsia"/>
          <w:sz w:val="24"/>
          <w:szCs w:val="24"/>
          <w:highlight w:val="none"/>
        </w:rPr>
        <w:t>（三）乙方应当自行承担下列可能存在的风险：</w:t>
      </w:r>
    </w:p>
    <w:p w14:paraId="38268BBF">
      <w:pPr>
        <w:pStyle w:val="2"/>
        <w:spacing w:line="360" w:lineRule="auto"/>
        <w:ind w:firstLine="480" w:firstLineChars="200"/>
        <w:rPr>
          <w:sz w:val="24"/>
          <w:szCs w:val="24"/>
          <w:highlight w:val="none"/>
        </w:rPr>
      </w:pPr>
      <w:r>
        <w:rPr>
          <w:rFonts w:hint="eastAsia"/>
          <w:sz w:val="24"/>
          <w:szCs w:val="24"/>
          <w:highlight w:val="none"/>
        </w:rPr>
        <w:t>1.处置的</w:t>
      </w:r>
      <w:r>
        <w:rPr>
          <w:rFonts w:hint="eastAsia"/>
          <w:sz w:val="24"/>
          <w:szCs w:val="24"/>
          <w:highlight w:val="none"/>
          <w:lang w:val="en-US" w:eastAsia="zh-CN"/>
        </w:rPr>
        <w:t>资产</w:t>
      </w:r>
      <w:r>
        <w:rPr>
          <w:rFonts w:hint="eastAsia"/>
          <w:sz w:val="24"/>
          <w:szCs w:val="24"/>
          <w:highlight w:val="none"/>
        </w:rPr>
        <w:t>、形态、品位与实际情况可能存在差异；</w:t>
      </w:r>
    </w:p>
    <w:p w14:paraId="39CBEA97">
      <w:pPr>
        <w:pStyle w:val="2"/>
        <w:spacing w:line="360" w:lineRule="auto"/>
        <w:ind w:firstLine="480" w:firstLineChars="200"/>
        <w:rPr>
          <w:sz w:val="24"/>
          <w:szCs w:val="24"/>
          <w:highlight w:val="none"/>
        </w:rPr>
      </w:pPr>
      <w:r>
        <w:rPr>
          <w:rFonts w:hint="eastAsia"/>
          <w:sz w:val="24"/>
          <w:szCs w:val="24"/>
          <w:highlight w:val="none"/>
        </w:rPr>
        <w:t>2.政策调整等因素对乙方行使权利义务的影响；</w:t>
      </w:r>
    </w:p>
    <w:p w14:paraId="5EF37247">
      <w:pPr>
        <w:pStyle w:val="2"/>
        <w:spacing w:line="360" w:lineRule="auto"/>
        <w:ind w:firstLine="480" w:firstLineChars="200"/>
        <w:rPr>
          <w:sz w:val="24"/>
          <w:szCs w:val="24"/>
          <w:highlight w:val="none"/>
        </w:rPr>
      </w:pPr>
      <w:r>
        <w:rPr>
          <w:rFonts w:hint="eastAsia"/>
          <w:sz w:val="24"/>
          <w:szCs w:val="24"/>
          <w:highlight w:val="none"/>
        </w:rPr>
        <w:t>3.生态和环境保护、地质灾害防治、安全生产要求等对特定处置开挖方式方法的限制；</w:t>
      </w:r>
    </w:p>
    <w:p w14:paraId="3C73FC50">
      <w:pPr>
        <w:pStyle w:val="2"/>
        <w:spacing w:line="360" w:lineRule="auto"/>
        <w:ind w:firstLine="480" w:firstLineChars="200"/>
        <w:rPr>
          <w:sz w:val="24"/>
          <w:szCs w:val="24"/>
          <w:highlight w:val="none"/>
        </w:rPr>
      </w:pPr>
      <w:r>
        <w:rPr>
          <w:rFonts w:hint="eastAsia"/>
          <w:sz w:val="24"/>
          <w:szCs w:val="24"/>
          <w:highlight w:val="none"/>
        </w:rPr>
        <w:t>4.不可抗力的影响。</w:t>
      </w:r>
    </w:p>
    <w:p w14:paraId="48A35FD4">
      <w:pPr>
        <w:pStyle w:val="2"/>
        <w:spacing w:line="360" w:lineRule="auto"/>
        <w:ind w:firstLine="482" w:firstLineChars="200"/>
        <w:outlineLvl w:val="0"/>
        <w:rPr>
          <w:b/>
          <w:bCs/>
          <w:sz w:val="24"/>
          <w:szCs w:val="24"/>
          <w:highlight w:val="none"/>
        </w:rPr>
      </w:pPr>
      <w:bookmarkStart w:id="37" w:name="_Toc22893"/>
      <w:bookmarkStart w:id="38" w:name="_Toc8417"/>
      <w:bookmarkStart w:id="39" w:name="_Toc18552"/>
      <w:r>
        <w:rPr>
          <w:rFonts w:hint="eastAsia"/>
          <w:b/>
          <w:bCs/>
          <w:sz w:val="24"/>
          <w:szCs w:val="24"/>
          <w:highlight w:val="none"/>
        </w:rPr>
        <w:t>第十</w:t>
      </w:r>
      <w:r>
        <w:rPr>
          <w:rFonts w:hint="eastAsia"/>
          <w:b/>
          <w:bCs/>
          <w:sz w:val="24"/>
          <w:szCs w:val="24"/>
          <w:highlight w:val="none"/>
          <w:lang w:val="en-US" w:eastAsia="zh-CN"/>
        </w:rPr>
        <w:t>一</w:t>
      </w:r>
      <w:r>
        <w:rPr>
          <w:rFonts w:hint="eastAsia"/>
          <w:b/>
          <w:bCs/>
          <w:sz w:val="24"/>
          <w:szCs w:val="24"/>
          <w:highlight w:val="none"/>
        </w:rPr>
        <w:t>条</w:t>
      </w:r>
      <w:r>
        <w:rPr>
          <w:rFonts w:hint="eastAsia"/>
          <w:b/>
          <w:bCs/>
          <w:sz w:val="24"/>
          <w:szCs w:val="24"/>
          <w:highlight w:val="none"/>
        </w:rPr>
        <w:tab/>
      </w:r>
      <w:r>
        <w:rPr>
          <w:rFonts w:hint="eastAsia"/>
          <w:b/>
          <w:bCs/>
          <w:sz w:val="24"/>
          <w:szCs w:val="24"/>
          <w:highlight w:val="none"/>
        </w:rPr>
        <w:t>甲方</w:t>
      </w:r>
      <w:r>
        <w:rPr>
          <w:rFonts w:hint="eastAsia"/>
          <w:b/>
          <w:bCs/>
          <w:sz w:val="24"/>
          <w:szCs w:val="24"/>
          <w:highlight w:val="none"/>
          <w:lang w:val="en-US" w:eastAsia="zh-CN"/>
        </w:rPr>
        <w:t>资产</w:t>
      </w:r>
      <w:r>
        <w:rPr>
          <w:rFonts w:hint="eastAsia"/>
          <w:b/>
          <w:bCs/>
          <w:sz w:val="24"/>
          <w:szCs w:val="24"/>
          <w:highlight w:val="none"/>
          <w:lang w:eastAsia="zh-CN"/>
        </w:rPr>
        <w:t>处置</w:t>
      </w:r>
      <w:r>
        <w:rPr>
          <w:rFonts w:hint="eastAsia"/>
          <w:b/>
          <w:bCs/>
          <w:sz w:val="24"/>
          <w:szCs w:val="24"/>
          <w:highlight w:val="none"/>
        </w:rPr>
        <w:t>款收款</w:t>
      </w:r>
      <w:r>
        <w:rPr>
          <w:rFonts w:hint="eastAsia"/>
          <w:b/>
          <w:bCs/>
          <w:sz w:val="24"/>
          <w:szCs w:val="24"/>
          <w:highlight w:val="none"/>
          <w:lang w:val="en-US" w:eastAsia="zh-CN"/>
        </w:rPr>
        <w:t>账号</w:t>
      </w:r>
      <w:bookmarkEnd w:id="37"/>
      <w:bookmarkEnd w:id="38"/>
      <w:bookmarkEnd w:id="39"/>
      <w:r>
        <w:rPr>
          <w:rFonts w:hint="eastAsia"/>
          <w:b/>
          <w:bCs/>
          <w:sz w:val="24"/>
          <w:szCs w:val="24"/>
          <w:highlight w:val="none"/>
        </w:rPr>
        <w:t xml:space="preserve"> </w:t>
      </w:r>
    </w:p>
    <w:p w14:paraId="3EA02EE4">
      <w:pPr>
        <w:pStyle w:val="2"/>
        <w:spacing w:line="360" w:lineRule="auto"/>
        <w:ind w:firstLine="480" w:firstLineChars="200"/>
        <w:rPr>
          <w:rFonts w:hint="default" w:eastAsia="宋体"/>
          <w:sz w:val="24"/>
          <w:szCs w:val="24"/>
          <w:highlight w:val="none"/>
          <w:lang w:val="en-US" w:eastAsia="zh-CN"/>
        </w:rPr>
      </w:pPr>
      <w:r>
        <w:rPr>
          <w:rFonts w:hint="eastAsia"/>
          <w:sz w:val="24"/>
          <w:szCs w:val="24"/>
          <w:highlight w:val="none"/>
        </w:rPr>
        <w:t>账   户  名：</w:t>
      </w:r>
      <w:r>
        <w:rPr>
          <w:rFonts w:hint="eastAsia"/>
          <w:sz w:val="24"/>
          <w:szCs w:val="24"/>
          <w:highlight w:val="none"/>
          <w:lang w:val="en-US" w:eastAsia="zh-CN"/>
        </w:rPr>
        <w:t>惠州大亚湾环境水务集团有限公司</w:t>
      </w:r>
    </w:p>
    <w:p w14:paraId="2233C9BB">
      <w:pPr>
        <w:pStyle w:val="2"/>
        <w:spacing w:line="360" w:lineRule="auto"/>
        <w:ind w:firstLine="480" w:firstLineChars="200"/>
        <w:rPr>
          <w:sz w:val="24"/>
          <w:szCs w:val="24"/>
          <w:highlight w:val="none"/>
        </w:rPr>
      </w:pPr>
      <w:r>
        <w:rPr>
          <w:rFonts w:hint="eastAsia"/>
          <w:sz w:val="24"/>
          <w:szCs w:val="24"/>
          <w:highlight w:val="none"/>
        </w:rPr>
        <w:t xml:space="preserve">开 户 银 行： </w:t>
      </w:r>
    </w:p>
    <w:p w14:paraId="37CEC9CD">
      <w:pPr>
        <w:pStyle w:val="2"/>
        <w:spacing w:line="360" w:lineRule="auto"/>
        <w:ind w:firstLine="480" w:firstLineChars="200"/>
        <w:rPr>
          <w:sz w:val="24"/>
          <w:szCs w:val="24"/>
          <w:highlight w:val="none"/>
        </w:rPr>
      </w:pPr>
      <w:r>
        <w:rPr>
          <w:rFonts w:hint="eastAsia"/>
          <w:sz w:val="24"/>
          <w:szCs w:val="24"/>
          <w:highlight w:val="none"/>
          <w:lang w:val="en-US" w:eastAsia="zh-CN"/>
        </w:rPr>
        <w:t>账</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号： </w:t>
      </w:r>
    </w:p>
    <w:p w14:paraId="7CD9AC3D">
      <w:pPr>
        <w:pStyle w:val="2"/>
        <w:numPr>
          <w:ilvl w:val="0"/>
          <w:numId w:val="0"/>
        </w:numPr>
        <w:tabs>
          <w:tab w:val="left" w:pos="2191"/>
        </w:tabs>
        <w:spacing w:line="360" w:lineRule="auto"/>
        <w:ind w:firstLine="482" w:firstLineChars="200"/>
        <w:outlineLvl w:val="0"/>
        <w:rPr>
          <w:rFonts w:hint="eastAsia"/>
          <w:b/>
          <w:bCs/>
          <w:sz w:val="24"/>
          <w:szCs w:val="24"/>
          <w:highlight w:val="none"/>
          <w:lang w:val="en-US" w:eastAsia="zh-CN"/>
        </w:rPr>
      </w:pPr>
      <w:bookmarkStart w:id="40" w:name="_Toc14034"/>
      <w:bookmarkStart w:id="41" w:name="_Toc29430"/>
      <w:bookmarkStart w:id="42" w:name="_Toc7479"/>
      <w:r>
        <w:rPr>
          <w:rFonts w:hint="eastAsia" w:ascii="宋体" w:hAnsi="宋体" w:eastAsia="宋体" w:cs="宋体"/>
          <w:b/>
          <w:bCs/>
          <w:snapToGrid w:val="0"/>
          <w:color w:val="000000"/>
          <w:sz w:val="24"/>
          <w:szCs w:val="24"/>
          <w:lang w:val="en-US" w:eastAsia="zh-CN" w:bidi="ar-SA"/>
        </w:rPr>
        <w:t>第十二条</w:t>
      </w:r>
      <w:r>
        <w:rPr>
          <w:rFonts w:hint="eastAsia"/>
          <w:b/>
          <w:bCs/>
          <w:sz w:val="24"/>
          <w:szCs w:val="24"/>
          <w:highlight w:val="none"/>
        </w:rPr>
        <w:t xml:space="preserve">   </w:t>
      </w:r>
      <w:r>
        <w:rPr>
          <w:rFonts w:hint="eastAsia"/>
          <w:b/>
          <w:bCs/>
          <w:sz w:val="24"/>
          <w:szCs w:val="24"/>
          <w:highlight w:val="none"/>
          <w:lang w:val="en-US" w:eastAsia="zh-CN"/>
        </w:rPr>
        <w:t>未尽事宜</w:t>
      </w:r>
      <w:bookmarkEnd w:id="40"/>
      <w:bookmarkEnd w:id="41"/>
      <w:bookmarkEnd w:id="42"/>
    </w:p>
    <w:p w14:paraId="13208029">
      <w:pPr>
        <w:pStyle w:val="2"/>
        <w:numPr>
          <w:ilvl w:val="0"/>
          <w:numId w:val="0"/>
        </w:numPr>
        <w:tabs>
          <w:tab w:val="left" w:pos="2191"/>
        </w:tabs>
        <w:spacing w:line="360" w:lineRule="auto"/>
        <w:ind w:firstLine="480" w:firstLineChars="200"/>
        <w:rPr>
          <w:sz w:val="24"/>
          <w:szCs w:val="24"/>
          <w:highlight w:val="none"/>
        </w:rPr>
      </w:pPr>
      <w:r>
        <w:rPr>
          <w:rFonts w:hint="eastAsia"/>
          <w:sz w:val="24"/>
          <w:szCs w:val="24"/>
          <w:highlight w:val="none"/>
        </w:rPr>
        <w:t>本</w:t>
      </w:r>
      <w:r>
        <w:rPr>
          <w:rFonts w:hint="eastAsia"/>
          <w:spacing w:val="-3"/>
          <w:sz w:val="24"/>
          <w:szCs w:val="24"/>
          <w:highlight w:val="none"/>
        </w:rPr>
        <w:t>合</w:t>
      </w:r>
      <w:r>
        <w:rPr>
          <w:rFonts w:hint="eastAsia"/>
          <w:sz w:val="24"/>
          <w:szCs w:val="24"/>
          <w:highlight w:val="none"/>
        </w:rPr>
        <w:t>同未</w:t>
      </w:r>
      <w:r>
        <w:rPr>
          <w:rFonts w:hint="eastAsia"/>
          <w:spacing w:val="-3"/>
          <w:sz w:val="24"/>
          <w:szCs w:val="24"/>
          <w:highlight w:val="none"/>
        </w:rPr>
        <w:t>尽</w:t>
      </w:r>
      <w:r>
        <w:rPr>
          <w:rFonts w:hint="eastAsia"/>
          <w:sz w:val="24"/>
          <w:szCs w:val="24"/>
          <w:highlight w:val="none"/>
        </w:rPr>
        <w:t>事宜</w:t>
      </w:r>
      <w:r>
        <w:rPr>
          <w:rFonts w:hint="eastAsia"/>
          <w:spacing w:val="-61"/>
          <w:sz w:val="24"/>
          <w:szCs w:val="24"/>
          <w:highlight w:val="none"/>
        </w:rPr>
        <w:t>，</w:t>
      </w:r>
      <w:r>
        <w:rPr>
          <w:rFonts w:hint="eastAsia"/>
          <w:sz w:val="24"/>
          <w:szCs w:val="24"/>
          <w:highlight w:val="none"/>
        </w:rPr>
        <w:t>按</w:t>
      </w:r>
      <w:r>
        <w:rPr>
          <w:rFonts w:hint="eastAsia"/>
          <w:spacing w:val="-3"/>
          <w:sz w:val="24"/>
          <w:szCs w:val="24"/>
          <w:highlight w:val="none"/>
        </w:rPr>
        <w:t>照</w:t>
      </w:r>
      <w:r>
        <w:rPr>
          <w:rFonts w:hint="eastAsia"/>
          <w:sz w:val="24"/>
          <w:szCs w:val="24"/>
          <w:highlight w:val="none"/>
        </w:rPr>
        <w:t>相关</w:t>
      </w:r>
      <w:r>
        <w:rPr>
          <w:rFonts w:hint="eastAsia"/>
          <w:spacing w:val="-3"/>
          <w:sz w:val="24"/>
          <w:szCs w:val="24"/>
          <w:highlight w:val="none"/>
        </w:rPr>
        <w:t>法</w:t>
      </w:r>
      <w:r>
        <w:rPr>
          <w:rFonts w:hint="eastAsia"/>
          <w:sz w:val="24"/>
          <w:szCs w:val="24"/>
          <w:highlight w:val="none"/>
        </w:rPr>
        <w:t>律法规</w:t>
      </w:r>
      <w:r>
        <w:rPr>
          <w:rFonts w:hint="eastAsia"/>
          <w:spacing w:val="-3"/>
          <w:sz w:val="24"/>
          <w:szCs w:val="24"/>
          <w:highlight w:val="none"/>
        </w:rPr>
        <w:t>的</w:t>
      </w:r>
      <w:r>
        <w:rPr>
          <w:rFonts w:hint="eastAsia"/>
          <w:sz w:val="24"/>
          <w:szCs w:val="24"/>
          <w:highlight w:val="none"/>
        </w:rPr>
        <w:t>规定</w:t>
      </w:r>
      <w:r>
        <w:rPr>
          <w:rFonts w:hint="eastAsia"/>
          <w:spacing w:val="-3"/>
          <w:sz w:val="24"/>
          <w:szCs w:val="24"/>
          <w:highlight w:val="none"/>
        </w:rPr>
        <w:t>执行</w:t>
      </w:r>
      <w:r>
        <w:rPr>
          <w:rFonts w:hint="eastAsia"/>
          <w:spacing w:val="-61"/>
          <w:sz w:val="24"/>
          <w:szCs w:val="24"/>
          <w:highlight w:val="none"/>
        </w:rPr>
        <w:t>。</w:t>
      </w:r>
      <w:r>
        <w:rPr>
          <w:rFonts w:hint="eastAsia"/>
          <w:sz w:val="24"/>
          <w:szCs w:val="24"/>
          <w:highlight w:val="none"/>
        </w:rPr>
        <w:t>法</w:t>
      </w:r>
      <w:r>
        <w:rPr>
          <w:rFonts w:hint="eastAsia"/>
          <w:spacing w:val="-3"/>
          <w:sz w:val="24"/>
          <w:szCs w:val="24"/>
          <w:highlight w:val="none"/>
        </w:rPr>
        <w:t>律</w:t>
      </w:r>
      <w:r>
        <w:rPr>
          <w:rFonts w:hint="eastAsia"/>
          <w:sz w:val="24"/>
          <w:szCs w:val="24"/>
          <w:highlight w:val="none"/>
        </w:rPr>
        <w:t>法</w:t>
      </w:r>
      <w:r>
        <w:rPr>
          <w:rFonts w:hint="eastAsia"/>
          <w:spacing w:val="-1"/>
          <w:sz w:val="24"/>
          <w:szCs w:val="24"/>
          <w:highlight w:val="none"/>
        </w:rPr>
        <w:t>规</w:t>
      </w:r>
      <w:r>
        <w:rPr>
          <w:rFonts w:hint="eastAsia"/>
          <w:spacing w:val="-3"/>
          <w:sz w:val="24"/>
          <w:szCs w:val="24"/>
          <w:highlight w:val="none"/>
        </w:rPr>
        <w:t>没</w:t>
      </w:r>
      <w:r>
        <w:rPr>
          <w:rFonts w:hint="eastAsia"/>
          <w:sz w:val="24"/>
          <w:szCs w:val="24"/>
          <w:highlight w:val="none"/>
        </w:rPr>
        <w:t>有规</w:t>
      </w:r>
      <w:r>
        <w:rPr>
          <w:rFonts w:hint="eastAsia"/>
          <w:spacing w:val="-3"/>
          <w:sz w:val="24"/>
          <w:szCs w:val="24"/>
          <w:highlight w:val="none"/>
        </w:rPr>
        <w:t>定</w:t>
      </w:r>
      <w:r>
        <w:rPr>
          <w:rFonts w:hint="eastAsia"/>
          <w:sz w:val="24"/>
          <w:szCs w:val="24"/>
          <w:highlight w:val="none"/>
        </w:rPr>
        <w:t>的</w:t>
      </w:r>
      <w:r>
        <w:rPr>
          <w:rFonts w:hint="eastAsia"/>
          <w:spacing w:val="-41"/>
          <w:sz w:val="24"/>
          <w:szCs w:val="24"/>
          <w:highlight w:val="none"/>
        </w:rPr>
        <w:t>，</w:t>
      </w:r>
      <w:r>
        <w:rPr>
          <w:rFonts w:hint="eastAsia"/>
          <w:sz w:val="24"/>
          <w:szCs w:val="24"/>
          <w:highlight w:val="none"/>
        </w:rPr>
        <w:t>双</w:t>
      </w:r>
      <w:r>
        <w:rPr>
          <w:rFonts w:hint="eastAsia"/>
          <w:spacing w:val="-3"/>
          <w:sz w:val="24"/>
          <w:szCs w:val="24"/>
          <w:highlight w:val="none"/>
        </w:rPr>
        <w:t>方</w:t>
      </w:r>
      <w:r>
        <w:rPr>
          <w:rFonts w:hint="eastAsia"/>
          <w:sz w:val="24"/>
          <w:szCs w:val="24"/>
          <w:highlight w:val="none"/>
        </w:rPr>
        <w:t>经协</w:t>
      </w:r>
      <w:r>
        <w:rPr>
          <w:rFonts w:hint="eastAsia"/>
          <w:spacing w:val="-3"/>
          <w:sz w:val="24"/>
          <w:szCs w:val="24"/>
          <w:highlight w:val="none"/>
        </w:rPr>
        <w:t>商</w:t>
      </w:r>
      <w:r>
        <w:rPr>
          <w:rFonts w:hint="eastAsia"/>
          <w:sz w:val="24"/>
          <w:szCs w:val="24"/>
          <w:highlight w:val="none"/>
        </w:rPr>
        <w:t>一致</w:t>
      </w:r>
      <w:r>
        <w:rPr>
          <w:rFonts w:hint="eastAsia"/>
          <w:spacing w:val="-3"/>
          <w:sz w:val="24"/>
          <w:szCs w:val="24"/>
          <w:highlight w:val="none"/>
        </w:rPr>
        <w:t>后</w:t>
      </w:r>
      <w:r>
        <w:rPr>
          <w:rFonts w:hint="eastAsia"/>
          <w:spacing w:val="-39"/>
          <w:sz w:val="24"/>
          <w:szCs w:val="24"/>
          <w:highlight w:val="none"/>
        </w:rPr>
        <w:t>，</w:t>
      </w:r>
      <w:r>
        <w:rPr>
          <w:rFonts w:hint="eastAsia"/>
          <w:sz w:val="24"/>
          <w:szCs w:val="24"/>
          <w:highlight w:val="none"/>
        </w:rPr>
        <w:t>可</w:t>
      </w:r>
      <w:r>
        <w:rPr>
          <w:rFonts w:hint="eastAsia"/>
          <w:spacing w:val="-3"/>
          <w:sz w:val="24"/>
          <w:szCs w:val="24"/>
          <w:highlight w:val="none"/>
        </w:rPr>
        <w:t>另</w:t>
      </w:r>
      <w:r>
        <w:rPr>
          <w:rFonts w:hint="eastAsia"/>
          <w:sz w:val="24"/>
          <w:szCs w:val="24"/>
          <w:highlight w:val="none"/>
        </w:rPr>
        <w:t>行签</w:t>
      </w:r>
      <w:r>
        <w:rPr>
          <w:rFonts w:hint="eastAsia"/>
          <w:spacing w:val="-3"/>
          <w:sz w:val="24"/>
          <w:szCs w:val="24"/>
          <w:highlight w:val="none"/>
        </w:rPr>
        <w:t>订</w:t>
      </w:r>
      <w:r>
        <w:rPr>
          <w:rFonts w:hint="eastAsia"/>
          <w:sz w:val="24"/>
          <w:szCs w:val="24"/>
          <w:highlight w:val="none"/>
        </w:rPr>
        <w:t>补充</w:t>
      </w:r>
      <w:r>
        <w:rPr>
          <w:rFonts w:hint="eastAsia"/>
          <w:spacing w:val="-3"/>
          <w:sz w:val="24"/>
          <w:szCs w:val="24"/>
          <w:highlight w:val="none"/>
        </w:rPr>
        <w:t>协</w:t>
      </w:r>
      <w:r>
        <w:rPr>
          <w:rFonts w:hint="eastAsia"/>
          <w:sz w:val="24"/>
          <w:szCs w:val="24"/>
          <w:highlight w:val="none"/>
        </w:rPr>
        <w:t>议</w:t>
      </w:r>
      <w:r>
        <w:rPr>
          <w:rFonts w:hint="eastAsia"/>
          <w:spacing w:val="-39"/>
          <w:sz w:val="24"/>
          <w:szCs w:val="24"/>
          <w:highlight w:val="none"/>
        </w:rPr>
        <w:t>。</w:t>
      </w:r>
      <w:r>
        <w:rPr>
          <w:rFonts w:hint="eastAsia"/>
          <w:sz w:val="24"/>
          <w:szCs w:val="24"/>
          <w:highlight w:val="none"/>
        </w:rPr>
        <w:t>补</w:t>
      </w:r>
      <w:r>
        <w:rPr>
          <w:rFonts w:hint="eastAsia"/>
          <w:spacing w:val="-3"/>
          <w:sz w:val="24"/>
          <w:szCs w:val="24"/>
          <w:highlight w:val="none"/>
        </w:rPr>
        <w:t>充</w:t>
      </w:r>
      <w:r>
        <w:rPr>
          <w:rFonts w:hint="eastAsia"/>
          <w:sz w:val="24"/>
          <w:szCs w:val="24"/>
          <w:highlight w:val="none"/>
        </w:rPr>
        <w:t>协议</w:t>
      </w:r>
      <w:r>
        <w:rPr>
          <w:rFonts w:hint="eastAsia"/>
          <w:spacing w:val="-3"/>
          <w:sz w:val="24"/>
          <w:szCs w:val="24"/>
          <w:highlight w:val="none"/>
        </w:rPr>
        <w:t>与</w:t>
      </w:r>
      <w:r>
        <w:rPr>
          <w:rFonts w:hint="eastAsia"/>
          <w:sz w:val="24"/>
          <w:szCs w:val="24"/>
          <w:highlight w:val="none"/>
        </w:rPr>
        <w:t>本合同具有同等法律效力。</w:t>
      </w:r>
    </w:p>
    <w:p w14:paraId="006262BE">
      <w:pPr>
        <w:pStyle w:val="2"/>
        <w:tabs>
          <w:tab w:val="left" w:pos="2187"/>
        </w:tabs>
        <w:spacing w:line="360" w:lineRule="auto"/>
        <w:ind w:firstLine="482" w:firstLineChars="200"/>
        <w:outlineLvl w:val="0"/>
        <w:rPr>
          <w:rFonts w:hint="eastAsia"/>
          <w:b/>
          <w:bCs/>
          <w:sz w:val="24"/>
          <w:szCs w:val="24"/>
          <w:highlight w:val="none"/>
          <w:lang w:val="en-US" w:eastAsia="zh-CN"/>
        </w:rPr>
      </w:pPr>
      <w:bookmarkStart w:id="43" w:name="_Toc21523"/>
      <w:bookmarkStart w:id="44" w:name="_Toc13705"/>
      <w:bookmarkStart w:id="45" w:name="_Toc8666"/>
      <w:r>
        <w:rPr>
          <w:rFonts w:hint="eastAsia"/>
          <w:b/>
          <w:bCs/>
          <w:sz w:val="24"/>
          <w:szCs w:val="24"/>
          <w:highlight w:val="none"/>
        </w:rPr>
        <w:t>第</w:t>
      </w:r>
      <w:r>
        <w:rPr>
          <w:rFonts w:hint="eastAsia"/>
          <w:b/>
          <w:bCs/>
          <w:spacing w:val="-3"/>
          <w:sz w:val="24"/>
          <w:szCs w:val="24"/>
          <w:highlight w:val="none"/>
        </w:rPr>
        <w:t>十</w:t>
      </w:r>
      <w:r>
        <w:rPr>
          <w:rFonts w:hint="eastAsia"/>
          <w:b/>
          <w:bCs/>
          <w:spacing w:val="-3"/>
          <w:sz w:val="24"/>
          <w:szCs w:val="24"/>
          <w:highlight w:val="none"/>
          <w:lang w:val="en-US" w:eastAsia="zh-CN"/>
        </w:rPr>
        <w:t>三</w:t>
      </w:r>
      <w:r>
        <w:rPr>
          <w:rFonts w:hint="eastAsia"/>
          <w:b/>
          <w:bCs/>
          <w:sz w:val="24"/>
          <w:szCs w:val="24"/>
          <w:highlight w:val="none"/>
        </w:rPr>
        <w:t xml:space="preserve">条    </w:t>
      </w:r>
      <w:r>
        <w:rPr>
          <w:rFonts w:hint="eastAsia"/>
          <w:b/>
          <w:bCs/>
          <w:sz w:val="24"/>
          <w:szCs w:val="24"/>
          <w:highlight w:val="none"/>
          <w:lang w:val="en-US" w:eastAsia="zh-CN"/>
        </w:rPr>
        <w:t>争议的解决</w:t>
      </w:r>
      <w:bookmarkEnd w:id="43"/>
      <w:bookmarkEnd w:id="44"/>
      <w:bookmarkEnd w:id="45"/>
    </w:p>
    <w:p w14:paraId="60E171B2">
      <w:pPr>
        <w:pStyle w:val="2"/>
        <w:tabs>
          <w:tab w:val="left" w:pos="2187"/>
        </w:tabs>
        <w:spacing w:line="360" w:lineRule="auto"/>
        <w:ind w:firstLine="480" w:firstLineChars="200"/>
        <w:rPr>
          <w:sz w:val="24"/>
          <w:szCs w:val="24"/>
          <w:highlight w:val="none"/>
        </w:rPr>
      </w:pPr>
      <w:r>
        <w:rPr>
          <w:rFonts w:hint="eastAsia"/>
          <w:sz w:val="24"/>
          <w:szCs w:val="24"/>
          <w:highlight w:val="none"/>
        </w:rPr>
        <w:t>因</w:t>
      </w:r>
      <w:r>
        <w:rPr>
          <w:rFonts w:hint="eastAsia"/>
          <w:spacing w:val="-3"/>
          <w:sz w:val="24"/>
          <w:szCs w:val="24"/>
          <w:highlight w:val="none"/>
        </w:rPr>
        <w:t>本</w:t>
      </w:r>
      <w:r>
        <w:rPr>
          <w:rFonts w:hint="eastAsia"/>
          <w:sz w:val="24"/>
          <w:szCs w:val="24"/>
          <w:highlight w:val="none"/>
        </w:rPr>
        <w:t>合同</w:t>
      </w:r>
      <w:r>
        <w:rPr>
          <w:rFonts w:hint="eastAsia"/>
          <w:spacing w:val="-3"/>
          <w:sz w:val="24"/>
          <w:szCs w:val="24"/>
          <w:highlight w:val="none"/>
        </w:rPr>
        <w:t>引</w:t>
      </w:r>
      <w:r>
        <w:rPr>
          <w:rFonts w:hint="eastAsia"/>
          <w:sz w:val="24"/>
          <w:szCs w:val="24"/>
          <w:highlight w:val="none"/>
        </w:rPr>
        <w:t>起纠</w:t>
      </w:r>
      <w:r>
        <w:rPr>
          <w:rFonts w:hint="eastAsia"/>
          <w:spacing w:val="-3"/>
          <w:sz w:val="24"/>
          <w:szCs w:val="24"/>
          <w:highlight w:val="none"/>
        </w:rPr>
        <w:t>纷</w:t>
      </w:r>
      <w:r>
        <w:rPr>
          <w:rFonts w:hint="eastAsia"/>
          <w:sz w:val="24"/>
          <w:szCs w:val="24"/>
          <w:highlight w:val="none"/>
        </w:rPr>
        <w:t>的</w:t>
      </w:r>
      <w:r>
        <w:rPr>
          <w:rFonts w:hint="eastAsia"/>
          <w:spacing w:val="-128"/>
          <w:sz w:val="24"/>
          <w:szCs w:val="24"/>
          <w:highlight w:val="none"/>
        </w:rPr>
        <w:t>，</w:t>
      </w:r>
      <w:r>
        <w:rPr>
          <w:rFonts w:hint="eastAsia"/>
          <w:sz w:val="24"/>
          <w:szCs w:val="24"/>
          <w:highlight w:val="none"/>
        </w:rPr>
        <w:t>由</w:t>
      </w:r>
      <w:r>
        <w:rPr>
          <w:rFonts w:hint="eastAsia"/>
          <w:spacing w:val="-3"/>
          <w:sz w:val="24"/>
          <w:szCs w:val="24"/>
          <w:highlight w:val="none"/>
        </w:rPr>
        <w:t>争</w:t>
      </w:r>
      <w:r>
        <w:rPr>
          <w:rFonts w:hint="eastAsia"/>
          <w:sz w:val="24"/>
          <w:szCs w:val="24"/>
          <w:highlight w:val="none"/>
        </w:rPr>
        <w:t>议双</w:t>
      </w:r>
      <w:r>
        <w:rPr>
          <w:rFonts w:hint="eastAsia"/>
          <w:spacing w:val="-3"/>
          <w:sz w:val="24"/>
          <w:szCs w:val="24"/>
          <w:highlight w:val="none"/>
        </w:rPr>
        <w:t>方</w:t>
      </w:r>
      <w:r>
        <w:rPr>
          <w:rFonts w:hint="eastAsia"/>
          <w:sz w:val="24"/>
          <w:szCs w:val="24"/>
          <w:highlight w:val="none"/>
        </w:rPr>
        <w:t>协商</w:t>
      </w:r>
      <w:r>
        <w:rPr>
          <w:rFonts w:hint="eastAsia"/>
          <w:spacing w:val="-3"/>
          <w:sz w:val="24"/>
          <w:szCs w:val="24"/>
          <w:highlight w:val="none"/>
        </w:rPr>
        <w:t>解</w:t>
      </w:r>
      <w:r>
        <w:rPr>
          <w:rFonts w:hint="eastAsia"/>
          <w:sz w:val="24"/>
          <w:szCs w:val="24"/>
          <w:highlight w:val="none"/>
        </w:rPr>
        <w:t>决</w:t>
      </w:r>
      <w:r>
        <w:rPr>
          <w:rFonts w:hint="eastAsia"/>
          <w:spacing w:val="-130"/>
          <w:sz w:val="24"/>
          <w:szCs w:val="24"/>
          <w:highlight w:val="none"/>
        </w:rPr>
        <w:t>，</w:t>
      </w:r>
      <w:r>
        <w:rPr>
          <w:rFonts w:hint="eastAsia"/>
          <w:sz w:val="24"/>
          <w:szCs w:val="24"/>
          <w:highlight w:val="none"/>
        </w:rPr>
        <w:t>协</w:t>
      </w:r>
      <w:r>
        <w:rPr>
          <w:rFonts w:hint="eastAsia"/>
          <w:spacing w:val="-3"/>
          <w:sz w:val="24"/>
          <w:szCs w:val="24"/>
          <w:highlight w:val="none"/>
        </w:rPr>
        <w:t>商</w:t>
      </w:r>
      <w:r>
        <w:rPr>
          <w:rFonts w:hint="eastAsia"/>
          <w:sz w:val="24"/>
          <w:szCs w:val="24"/>
          <w:highlight w:val="none"/>
        </w:rPr>
        <w:t>不成</w:t>
      </w:r>
      <w:r>
        <w:rPr>
          <w:rFonts w:hint="eastAsia"/>
          <w:spacing w:val="-3"/>
          <w:sz w:val="24"/>
          <w:szCs w:val="24"/>
          <w:highlight w:val="none"/>
        </w:rPr>
        <w:t>的</w:t>
      </w:r>
      <w:r>
        <w:rPr>
          <w:rFonts w:hint="eastAsia"/>
          <w:sz w:val="24"/>
          <w:szCs w:val="24"/>
          <w:highlight w:val="none"/>
        </w:rPr>
        <w:t>， 双</w:t>
      </w:r>
      <w:r>
        <w:rPr>
          <w:rFonts w:hint="eastAsia"/>
          <w:spacing w:val="-3"/>
          <w:sz w:val="24"/>
          <w:szCs w:val="24"/>
          <w:highlight w:val="none"/>
        </w:rPr>
        <w:t>方</w:t>
      </w:r>
      <w:r>
        <w:rPr>
          <w:rFonts w:hint="eastAsia"/>
          <w:sz w:val="24"/>
          <w:szCs w:val="24"/>
          <w:highlight w:val="none"/>
        </w:rPr>
        <w:t>同意</w:t>
      </w:r>
      <w:r>
        <w:rPr>
          <w:rFonts w:hint="eastAsia"/>
          <w:spacing w:val="-3"/>
          <w:sz w:val="24"/>
          <w:szCs w:val="24"/>
          <w:highlight w:val="none"/>
        </w:rPr>
        <w:t>向</w:t>
      </w:r>
      <w:r>
        <w:rPr>
          <w:rFonts w:hint="eastAsia"/>
          <w:sz w:val="24"/>
          <w:szCs w:val="24"/>
          <w:highlight w:val="none"/>
        </w:rPr>
        <w:t>甲方</w:t>
      </w:r>
      <w:r>
        <w:rPr>
          <w:rFonts w:hint="eastAsia"/>
          <w:spacing w:val="-3"/>
          <w:sz w:val="24"/>
          <w:szCs w:val="24"/>
          <w:highlight w:val="none"/>
          <w:lang w:val="en-US" w:eastAsia="zh-CN"/>
        </w:rPr>
        <w:t>住所地</w:t>
      </w:r>
      <w:r>
        <w:rPr>
          <w:rFonts w:hint="eastAsia"/>
          <w:sz w:val="24"/>
          <w:szCs w:val="24"/>
          <w:highlight w:val="none"/>
        </w:rPr>
        <w:t>人民</w:t>
      </w:r>
      <w:r>
        <w:rPr>
          <w:rFonts w:hint="eastAsia"/>
          <w:spacing w:val="-3"/>
          <w:sz w:val="24"/>
          <w:szCs w:val="24"/>
          <w:highlight w:val="none"/>
        </w:rPr>
        <w:t>法</w:t>
      </w:r>
      <w:r>
        <w:rPr>
          <w:rFonts w:hint="eastAsia"/>
          <w:sz w:val="24"/>
          <w:szCs w:val="24"/>
          <w:highlight w:val="none"/>
        </w:rPr>
        <w:t>院提</w:t>
      </w:r>
      <w:r>
        <w:rPr>
          <w:rFonts w:hint="eastAsia"/>
          <w:spacing w:val="-3"/>
          <w:sz w:val="24"/>
          <w:szCs w:val="24"/>
          <w:highlight w:val="none"/>
        </w:rPr>
        <w:t>起</w:t>
      </w:r>
      <w:r>
        <w:rPr>
          <w:rFonts w:hint="eastAsia"/>
          <w:sz w:val="24"/>
          <w:szCs w:val="24"/>
          <w:highlight w:val="none"/>
        </w:rPr>
        <w:t>诉讼。</w:t>
      </w:r>
    </w:p>
    <w:p w14:paraId="7A72F1D1">
      <w:pPr>
        <w:pStyle w:val="2"/>
        <w:numPr>
          <w:ilvl w:val="0"/>
          <w:numId w:val="0"/>
        </w:numPr>
        <w:tabs>
          <w:tab w:val="left" w:pos="2187"/>
        </w:tabs>
        <w:spacing w:line="360" w:lineRule="auto"/>
        <w:ind w:firstLine="482" w:firstLineChars="200"/>
        <w:outlineLvl w:val="0"/>
        <w:rPr>
          <w:rFonts w:hint="eastAsia"/>
          <w:b/>
          <w:bCs/>
          <w:sz w:val="24"/>
          <w:szCs w:val="24"/>
          <w:highlight w:val="none"/>
          <w:lang w:val="en-US" w:eastAsia="zh-CN"/>
        </w:rPr>
      </w:pPr>
      <w:bookmarkStart w:id="46" w:name="_Toc19942"/>
      <w:bookmarkStart w:id="47" w:name="_Toc12551"/>
      <w:bookmarkStart w:id="48" w:name="_Toc25880"/>
      <w:r>
        <w:rPr>
          <w:rFonts w:hint="eastAsia" w:ascii="宋体" w:hAnsi="宋体" w:eastAsia="宋体" w:cs="宋体"/>
          <w:b/>
          <w:bCs/>
          <w:snapToGrid w:val="0"/>
          <w:color w:val="000000"/>
          <w:sz w:val="24"/>
          <w:szCs w:val="24"/>
          <w:lang w:val="en-US" w:eastAsia="zh-CN" w:bidi="ar-SA"/>
        </w:rPr>
        <w:t>第十四条</w:t>
      </w:r>
      <w:r>
        <w:rPr>
          <w:rFonts w:hint="eastAsia"/>
          <w:b/>
          <w:bCs/>
          <w:sz w:val="24"/>
          <w:szCs w:val="24"/>
          <w:highlight w:val="none"/>
        </w:rPr>
        <w:t xml:space="preserve">   </w:t>
      </w:r>
      <w:r>
        <w:rPr>
          <w:rFonts w:hint="eastAsia"/>
          <w:b/>
          <w:bCs/>
          <w:sz w:val="24"/>
          <w:szCs w:val="24"/>
          <w:highlight w:val="none"/>
          <w:lang w:val="en-US" w:eastAsia="zh-CN"/>
        </w:rPr>
        <w:t>合同份数</w:t>
      </w:r>
      <w:bookmarkEnd w:id="46"/>
      <w:bookmarkEnd w:id="47"/>
      <w:bookmarkEnd w:id="48"/>
    </w:p>
    <w:p w14:paraId="43D39A79">
      <w:pPr>
        <w:pStyle w:val="2"/>
        <w:numPr>
          <w:ilvl w:val="0"/>
          <w:numId w:val="0"/>
        </w:numPr>
        <w:tabs>
          <w:tab w:val="left" w:pos="2187"/>
        </w:tabs>
        <w:spacing w:line="360" w:lineRule="auto"/>
        <w:ind w:firstLine="480" w:firstLineChars="200"/>
        <w:rPr>
          <w:sz w:val="24"/>
          <w:szCs w:val="24"/>
          <w:highlight w:val="none"/>
        </w:rPr>
      </w:pPr>
      <w:r>
        <w:rPr>
          <w:rFonts w:hint="eastAsia"/>
          <w:sz w:val="24"/>
          <w:szCs w:val="24"/>
          <w:highlight w:val="none"/>
        </w:rPr>
        <w:t>本</w:t>
      </w:r>
      <w:r>
        <w:rPr>
          <w:rFonts w:hint="eastAsia"/>
          <w:spacing w:val="-3"/>
          <w:sz w:val="24"/>
          <w:szCs w:val="24"/>
          <w:highlight w:val="none"/>
        </w:rPr>
        <w:t>合</w:t>
      </w:r>
      <w:r>
        <w:rPr>
          <w:rFonts w:hint="eastAsia"/>
          <w:sz w:val="24"/>
          <w:szCs w:val="24"/>
          <w:highlight w:val="none"/>
        </w:rPr>
        <w:t>同一式</w:t>
      </w:r>
      <w:r>
        <w:rPr>
          <w:rFonts w:hint="eastAsia"/>
          <w:sz w:val="24"/>
          <w:szCs w:val="24"/>
          <w:highlight w:val="none"/>
          <w:u w:val="single"/>
        </w:rPr>
        <w:t xml:space="preserve"> 陆 </w:t>
      </w:r>
      <w:r>
        <w:rPr>
          <w:rFonts w:hint="eastAsia"/>
          <w:sz w:val="24"/>
          <w:szCs w:val="24"/>
          <w:highlight w:val="none"/>
        </w:rPr>
        <w:t>份</w:t>
      </w:r>
      <w:r>
        <w:rPr>
          <w:rFonts w:hint="eastAsia"/>
          <w:spacing w:val="-61"/>
          <w:sz w:val="24"/>
          <w:szCs w:val="24"/>
          <w:highlight w:val="none"/>
        </w:rPr>
        <w:t>，</w:t>
      </w:r>
      <w:r>
        <w:rPr>
          <w:rFonts w:hint="eastAsia"/>
          <w:sz w:val="24"/>
          <w:szCs w:val="24"/>
          <w:highlight w:val="none"/>
        </w:rPr>
        <w:t>甲</w:t>
      </w:r>
      <w:r>
        <w:rPr>
          <w:rFonts w:hint="eastAsia"/>
          <w:spacing w:val="-3"/>
          <w:sz w:val="24"/>
          <w:szCs w:val="24"/>
          <w:highlight w:val="none"/>
        </w:rPr>
        <w:t>乙</w:t>
      </w:r>
      <w:r>
        <w:rPr>
          <w:rFonts w:hint="eastAsia"/>
          <w:sz w:val="24"/>
          <w:szCs w:val="24"/>
          <w:highlight w:val="none"/>
        </w:rPr>
        <w:t>双方</w:t>
      </w:r>
      <w:r>
        <w:rPr>
          <w:rFonts w:hint="eastAsia"/>
          <w:spacing w:val="-3"/>
          <w:sz w:val="24"/>
          <w:szCs w:val="24"/>
          <w:highlight w:val="none"/>
        </w:rPr>
        <w:t>各</w:t>
      </w:r>
      <w:r>
        <w:rPr>
          <w:rFonts w:hint="eastAsia"/>
          <w:sz w:val="24"/>
          <w:szCs w:val="24"/>
          <w:highlight w:val="none"/>
        </w:rPr>
        <w:t>持</w:t>
      </w:r>
      <w:r>
        <w:rPr>
          <w:rFonts w:hint="eastAsia"/>
          <w:sz w:val="24"/>
          <w:szCs w:val="24"/>
          <w:highlight w:val="none"/>
          <w:u w:val="single"/>
        </w:rPr>
        <w:t xml:space="preserve"> 叁 </w:t>
      </w:r>
      <w:r>
        <w:rPr>
          <w:rFonts w:hint="eastAsia"/>
          <w:sz w:val="24"/>
          <w:szCs w:val="24"/>
          <w:highlight w:val="none"/>
        </w:rPr>
        <w:t>份，</w:t>
      </w:r>
      <w:r>
        <w:rPr>
          <w:rFonts w:hint="eastAsia"/>
          <w:spacing w:val="-3"/>
          <w:sz w:val="24"/>
          <w:szCs w:val="24"/>
          <w:highlight w:val="none"/>
        </w:rPr>
        <w:t>具有同等法律效力</w:t>
      </w:r>
      <w:r>
        <w:rPr>
          <w:rFonts w:hint="eastAsia"/>
          <w:sz w:val="24"/>
          <w:szCs w:val="24"/>
          <w:highlight w:val="none"/>
        </w:rPr>
        <w:t>。</w:t>
      </w:r>
    </w:p>
    <w:p w14:paraId="27D9E182">
      <w:pPr>
        <w:pStyle w:val="2"/>
        <w:tabs>
          <w:tab w:val="left" w:pos="2187"/>
        </w:tabs>
        <w:spacing w:line="360" w:lineRule="auto"/>
        <w:ind w:firstLine="482" w:firstLineChars="200"/>
        <w:outlineLvl w:val="0"/>
        <w:rPr>
          <w:b/>
          <w:bCs/>
          <w:sz w:val="24"/>
          <w:szCs w:val="24"/>
          <w:highlight w:val="none"/>
        </w:rPr>
      </w:pPr>
      <w:bookmarkStart w:id="49" w:name="_Toc31672"/>
      <w:bookmarkStart w:id="50" w:name="_Toc9643"/>
      <w:bookmarkStart w:id="51" w:name="_Toc31526"/>
      <w:r>
        <w:rPr>
          <w:rFonts w:hint="eastAsia"/>
          <w:b/>
          <w:bCs/>
          <w:sz w:val="24"/>
          <w:szCs w:val="24"/>
          <w:highlight w:val="none"/>
        </w:rPr>
        <w:t>第十</w:t>
      </w:r>
      <w:r>
        <w:rPr>
          <w:rFonts w:hint="eastAsia"/>
          <w:b/>
          <w:bCs/>
          <w:sz w:val="24"/>
          <w:szCs w:val="24"/>
          <w:highlight w:val="none"/>
          <w:lang w:val="en-US" w:eastAsia="zh-CN"/>
        </w:rPr>
        <w:t>五</w:t>
      </w:r>
      <w:r>
        <w:rPr>
          <w:rFonts w:hint="eastAsia"/>
          <w:b/>
          <w:bCs/>
          <w:sz w:val="24"/>
          <w:szCs w:val="24"/>
          <w:highlight w:val="none"/>
        </w:rPr>
        <w:t>条    合同生效</w:t>
      </w:r>
      <w:bookmarkEnd w:id="49"/>
      <w:bookmarkEnd w:id="50"/>
      <w:bookmarkEnd w:id="51"/>
    </w:p>
    <w:p w14:paraId="6CAD11FD">
      <w:pPr>
        <w:spacing w:line="360" w:lineRule="auto"/>
        <w:ind w:firstLine="468" w:firstLineChars="200"/>
        <w:rPr>
          <w:rFonts w:ascii="宋体" w:hAnsi="宋体" w:cs="宋体"/>
          <w:spacing w:val="-3"/>
          <w:sz w:val="24"/>
          <w:szCs w:val="24"/>
          <w:highlight w:val="none"/>
        </w:rPr>
      </w:pPr>
      <w:r>
        <w:rPr>
          <w:rFonts w:hint="eastAsia" w:ascii="宋体" w:hAnsi="宋体" w:cs="宋体"/>
          <w:spacing w:val="-3"/>
          <w:sz w:val="24"/>
          <w:szCs w:val="24"/>
          <w:highlight w:val="none"/>
        </w:rPr>
        <w:t>合同订立时间：</w:t>
      </w:r>
      <w:r>
        <w:rPr>
          <w:rFonts w:hint="eastAsia" w:ascii="宋体" w:hAnsi="宋体" w:cs="宋体"/>
          <w:spacing w:val="-3"/>
          <w:sz w:val="24"/>
          <w:szCs w:val="24"/>
          <w:highlight w:val="none"/>
          <w:u w:val="single"/>
        </w:rPr>
        <w:t xml:space="preserve">       </w:t>
      </w:r>
      <w:r>
        <w:rPr>
          <w:rFonts w:hint="eastAsia" w:ascii="宋体" w:hAnsi="宋体" w:cs="宋体"/>
          <w:spacing w:val="-3"/>
          <w:sz w:val="24"/>
          <w:szCs w:val="24"/>
          <w:highlight w:val="none"/>
        </w:rPr>
        <w:t>年</w:t>
      </w:r>
      <w:r>
        <w:rPr>
          <w:rFonts w:hint="eastAsia" w:ascii="宋体" w:hAnsi="宋体" w:cs="宋体"/>
          <w:spacing w:val="-3"/>
          <w:sz w:val="24"/>
          <w:szCs w:val="24"/>
          <w:highlight w:val="none"/>
          <w:u w:val="single"/>
        </w:rPr>
        <w:t xml:space="preserve">    </w:t>
      </w:r>
      <w:r>
        <w:rPr>
          <w:rFonts w:hint="eastAsia" w:ascii="宋体" w:hAnsi="宋体" w:cs="宋体"/>
          <w:spacing w:val="-3"/>
          <w:sz w:val="24"/>
          <w:szCs w:val="24"/>
          <w:highlight w:val="none"/>
        </w:rPr>
        <w:t>月</w:t>
      </w:r>
      <w:r>
        <w:rPr>
          <w:rFonts w:hint="eastAsia" w:ascii="宋体" w:hAnsi="宋体" w:cs="宋体"/>
          <w:spacing w:val="-3"/>
          <w:sz w:val="24"/>
          <w:szCs w:val="24"/>
          <w:highlight w:val="none"/>
          <w:u w:val="single"/>
        </w:rPr>
        <w:t xml:space="preserve">    </w:t>
      </w:r>
      <w:r>
        <w:rPr>
          <w:rFonts w:hint="eastAsia" w:ascii="宋体" w:hAnsi="宋体" w:cs="宋体"/>
          <w:spacing w:val="-3"/>
          <w:sz w:val="24"/>
          <w:szCs w:val="24"/>
          <w:highlight w:val="none"/>
        </w:rPr>
        <w:t>日</w:t>
      </w:r>
    </w:p>
    <w:p w14:paraId="469807FA">
      <w:pPr>
        <w:spacing w:line="360" w:lineRule="auto"/>
        <w:ind w:firstLine="468" w:firstLineChars="200"/>
        <w:rPr>
          <w:rFonts w:ascii="宋体" w:hAnsi="宋体" w:cs="宋体"/>
          <w:spacing w:val="-3"/>
          <w:sz w:val="24"/>
          <w:szCs w:val="24"/>
          <w:highlight w:val="none"/>
        </w:rPr>
      </w:pPr>
      <w:r>
        <w:rPr>
          <w:rFonts w:hint="eastAsia" w:ascii="宋体" w:hAnsi="宋体" w:cs="宋体"/>
          <w:spacing w:val="-3"/>
          <w:sz w:val="24"/>
          <w:szCs w:val="24"/>
          <w:highlight w:val="none"/>
        </w:rPr>
        <w:t xml:space="preserve">合同订立地点： 惠州大亚湾经济技术开发区     </w:t>
      </w:r>
    </w:p>
    <w:p w14:paraId="5176DF68">
      <w:pPr>
        <w:spacing w:line="360" w:lineRule="auto"/>
        <w:ind w:firstLine="468" w:firstLineChars="200"/>
        <w:rPr>
          <w:rFonts w:ascii="宋体" w:hAnsi="宋体" w:cs="宋体"/>
          <w:spacing w:val="-3"/>
          <w:sz w:val="24"/>
          <w:szCs w:val="24"/>
          <w:highlight w:val="yellow"/>
        </w:rPr>
      </w:pPr>
      <w:r>
        <w:rPr>
          <w:rFonts w:hint="eastAsia" w:ascii="宋体" w:hAnsi="宋体" w:cs="宋体"/>
          <w:spacing w:val="-3"/>
          <w:sz w:val="24"/>
          <w:szCs w:val="24"/>
          <w:highlight w:val="none"/>
        </w:rPr>
        <w:t>本合同经双方法定代表人或其委托代理人签署并</w:t>
      </w:r>
      <w:r>
        <w:rPr>
          <w:rFonts w:hint="eastAsia" w:ascii="宋体" w:hAnsi="宋体" w:cs="宋体"/>
          <w:spacing w:val="-3"/>
          <w:sz w:val="24"/>
          <w:szCs w:val="24"/>
          <w:highlight w:val="none"/>
          <w:u w:val="none"/>
        </w:rPr>
        <w:t>盖章后</w:t>
      </w:r>
      <w:r>
        <w:rPr>
          <w:rFonts w:hint="eastAsia" w:ascii="宋体" w:hAnsi="宋体" w:cs="宋体"/>
          <w:strike/>
          <w:spacing w:val="-3"/>
          <w:sz w:val="24"/>
          <w:szCs w:val="24"/>
          <w:highlight w:val="none"/>
          <w:u w:val="none"/>
        </w:rPr>
        <w:t>生效</w:t>
      </w:r>
      <w:r>
        <w:rPr>
          <w:rFonts w:hint="eastAsia" w:ascii="宋体" w:hAnsi="宋体" w:cs="宋体"/>
          <w:spacing w:val="-3"/>
          <w:sz w:val="24"/>
          <w:szCs w:val="24"/>
          <w:highlight w:val="none"/>
          <w:u w:val="none"/>
        </w:rPr>
        <w:t>。</w:t>
      </w:r>
    </w:p>
    <w:p w14:paraId="3A33EB23">
      <w:pPr>
        <w:spacing w:line="360" w:lineRule="auto"/>
        <w:ind w:firstLine="480" w:firstLineChars="200"/>
        <w:outlineLvl w:val="0"/>
        <w:rPr>
          <w:rFonts w:hint="eastAsia" w:ascii="宋体" w:hAnsi="宋体" w:eastAsia="宋体" w:cs="宋体"/>
          <w:b/>
          <w:bCs/>
          <w:sz w:val="24"/>
          <w:szCs w:val="24"/>
          <w:highlight w:val="none"/>
          <w:lang w:val="en-US" w:eastAsia="zh-CN"/>
        </w:rPr>
      </w:pPr>
      <w:bookmarkStart w:id="52" w:name="_Toc5194"/>
      <w:bookmarkStart w:id="53" w:name="_Toc12343"/>
      <w:bookmarkStart w:id="54" w:name="_Toc3008"/>
      <w:r>
        <w:rPr>
          <w:rFonts w:hint="eastAsia" w:ascii="宋体" w:hAnsi="宋体" w:cs="宋体"/>
          <w:b/>
          <w:bCs/>
          <w:sz w:val="24"/>
          <w:szCs w:val="24"/>
          <w:highlight w:val="none"/>
        </w:rPr>
        <w:t>第十</w:t>
      </w:r>
      <w:r>
        <w:rPr>
          <w:rFonts w:hint="eastAsia" w:ascii="宋体" w:hAnsi="宋体" w:eastAsia="宋体" w:cs="宋体"/>
          <w:b/>
          <w:bCs/>
          <w:sz w:val="24"/>
          <w:szCs w:val="24"/>
          <w:highlight w:val="none"/>
          <w:lang w:val="en-US" w:eastAsia="zh-CN"/>
        </w:rPr>
        <w:t>六</w:t>
      </w:r>
      <w:r>
        <w:rPr>
          <w:rFonts w:hint="eastAsia" w:ascii="宋体" w:hAnsi="宋体" w:cs="宋体"/>
          <w:b/>
          <w:bCs/>
          <w:sz w:val="24"/>
          <w:szCs w:val="24"/>
          <w:highlight w:val="none"/>
        </w:rPr>
        <w:t xml:space="preserve">条    </w:t>
      </w:r>
      <w:r>
        <w:rPr>
          <w:rFonts w:hint="eastAsia" w:ascii="宋体" w:hAnsi="宋体" w:eastAsia="宋体" w:cs="宋体"/>
          <w:b/>
          <w:bCs/>
          <w:sz w:val="24"/>
          <w:szCs w:val="24"/>
          <w:highlight w:val="none"/>
          <w:lang w:val="en-US" w:eastAsia="zh-CN"/>
        </w:rPr>
        <w:t>附件</w:t>
      </w:r>
      <w:bookmarkEnd w:id="52"/>
      <w:bookmarkEnd w:id="53"/>
      <w:bookmarkEnd w:id="54"/>
    </w:p>
    <w:p w14:paraId="58656D9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本合同包含以下附件</w:t>
      </w:r>
      <w:r>
        <w:rPr>
          <w:rFonts w:hint="eastAsia" w:ascii="宋体" w:hAnsi="宋体" w:cs="宋体"/>
          <w:sz w:val="24"/>
          <w:szCs w:val="24"/>
          <w:highlight w:val="none"/>
          <w:u w:val="single"/>
        </w:rPr>
        <w:t xml:space="preserve"> </w:t>
      </w:r>
      <w:r>
        <w:rPr>
          <w:rFonts w:hint="eastAsia" w:ascii="宋体" w:hAnsi="宋体" w:eastAsia="宋体" w:cs="宋体"/>
          <w:sz w:val="24"/>
          <w:szCs w:val="24"/>
          <w:highlight w:val="none"/>
          <w:u w:val="single"/>
          <w:lang w:eastAsia="zh-CN"/>
        </w:rPr>
        <w:t>叁</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份，作为本合同不可分割的组成部分，附件与合同正文不一致之处，以正文为准：</w:t>
      </w:r>
      <w:bookmarkStart w:id="55" w:name="_Toc3667_WPSOffice_Level1"/>
      <w:bookmarkStart w:id="56" w:name="_Toc30959_WPSOffice_Level1"/>
      <w:bookmarkStart w:id="57" w:name="_Toc3715_WPSOffice_Level1"/>
    </w:p>
    <w:p w14:paraId="462A78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w:t>
      </w:r>
      <w:bookmarkEnd w:id="55"/>
      <w:bookmarkEnd w:id="56"/>
      <w:bookmarkEnd w:id="57"/>
      <w:r>
        <w:rPr>
          <w:rFonts w:hint="eastAsia" w:ascii="宋体" w:hAnsi="宋体" w:cs="宋体"/>
          <w:sz w:val="24"/>
          <w:szCs w:val="24"/>
          <w:highlight w:val="none"/>
        </w:rPr>
        <w:t>安全生产管理协议</w:t>
      </w:r>
    </w:p>
    <w:p w14:paraId="664E380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附件2：廉洁协议</w:t>
      </w:r>
    </w:p>
    <w:p w14:paraId="520B9F8F">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附件3：合规协议</w:t>
      </w:r>
    </w:p>
    <w:p w14:paraId="61C8B31E">
      <w:pPr>
        <w:spacing w:line="360" w:lineRule="auto"/>
        <w:ind w:firstLine="468" w:firstLineChars="200"/>
        <w:rPr>
          <w:rFonts w:ascii="宋体" w:hAnsi="宋体" w:cs="宋体"/>
          <w:spacing w:val="-3"/>
          <w:sz w:val="24"/>
          <w:szCs w:val="24"/>
          <w:highlight w:val="none"/>
        </w:rPr>
      </w:pPr>
      <w:r>
        <w:rPr>
          <w:rFonts w:hint="eastAsia" w:ascii="宋体" w:hAnsi="宋体" w:cs="宋体"/>
          <w:spacing w:val="-3"/>
          <w:sz w:val="24"/>
          <w:szCs w:val="24"/>
          <w:highlight w:val="none"/>
        </w:rPr>
        <w:t>本合同未尽事宜，甲乙双方可另行签订补充协议。</w:t>
      </w:r>
    </w:p>
    <w:p w14:paraId="6B8C7DC8">
      <w:pPr>
        <w:spacing w:line="360" w:lineRule="auto"/>
        <w:ind w:firstLine="409" w:firstLineChars="175"/>
        <w:rPr>
          <w:rFonts w:ascii="宋体" w:hAnsi="宋体" w:cs="宋体"/>
          <w:spacing w:val="-3"/>
          <w:sz w:val="24"/>
          <w:szCs w:val="24"/>
          <w:highlight w:val="none"/>
        </w:rPr>
      </w:pPr>
      <w:r>
        <w:rPr>
          <w:rFonts w:hint="eastAsia" w:ascii="宋体" w:hAnsi="宋体" w:cs="宋体"/>
          <w:spacing w:val="-3"/>
          <w:sz w:val="24"/>
          <w:szCs w:val="24"/>
          <w:highlight w:val="none"/>
        </w:rPr>
        <w:t>（以下无正文）</w:t>
      </w:r>
    </w:p>
    <w:p w14:paraId="07C2537A">
      <w:pPr>
        <w:pStyle w:val="2"/>
        <w:tabs>
          <w:tab w:val="left" w:pos="2187"/>
        </w:tabs>
        <w:spacing w:line="360" w:lineRule="auto"/>
        <w:ind w:firstLine="480" w:firstLineChars="200"/>
        <w:rPr>
          <w:sz w:val="24"/>
          <w:szCs w:val="24"/>
          <w:highlight w:val="none"/>
        </w:rPr>
      </w:pPr>
    </w:p>
    <w:p w14:paraId="45091F80">
      <w:pPr>
        <w:pStyle w:val="2"/>
        <w:tabs>
          <w:tab w:val="left" w:pos="2748"/>
          <w:tab w:val="left" w:pos="8136"/>
        </w:tabs>
        <w:spacing w:before="203" w:line="360" w:lineRule="auto"/>
        <w:ind w:right="1308"/>
        <w:rPr>
          <w:spacing w:val="-3"/>
          <w:sz w:val="24"/>
          <w:szCs w:val="24"/>
          <w:highlight w:val="none"/>
        </w:rPr>
      </w:pPr>
      <w:r>
        <w:rPr>
          <w:rFonts w:hint="eastAsia"/>
          <w:spacing w:val="-3"/>
          <w:sz w:val="24"/>
          <w:szCs w:val="24"/>
          <w:highlight w:val="none"/>
        </w:rPr>
        <w:t>甲方（盖章）：惠州大亚湾环境水务集团有限公司</w:t>
      </w:r>
    </w:p>
    <w:p w14:paraId="0A0A437A">
      <w:pPr>
        <w:pStyle w:val="2"/>
        <w:tabs>
          <w:tab w:val="left" w:pos="2748"/>
          <w:tab w:val="left" w:pos="8136"/>
        </w:tabs>
        <w:spacing w:before="203" w:line="360" w:lineRule="auto"/>
        <w:ind w:right="1308"/>
        <w:rPr>
          <w:spacing w:val="-3"/>
          <w:sz w:val="24"/>
          <w:szCs w:val="24"/>
          <w:highlight w:val="none"/>
        </w:rPr>
      </w:pPr>
      <w:r>
        <w:rPr>
          <w:rFonts w:hint="eastAsia"/>
          <w:spacing w:val="-3"/>
          <w:sz w:val="24"/>
          <w:szCs w:val="24"/>
          <w:highlight w:val="none"/>
        </w:rPr>
        <w:t xml:space="preserve">法定代表人或授权委托人（签字）：            </w:t>
      </w:r>
      <w:r>
        <w:rPr>
          <w:rFonts w:hint="eastAsia"/>
          <w:spacing w:val="-3"/>
          <w:sz w:val="24"/>
          <w:szCs w:val="24"/>
          <w:highlight w:val="none"/>
        </w:rPr>
        <w:tab/>
      </w:r>
      <w:r>
        <w:rPr>
          <w:rFonts w:hint="eastAsia"/>
          <w:spacing w:val="-3"/>
          <w:sz w:val="24"/>
          <w:szCs w:val="24"/>
          <w:highlight w:val="none"/>
        </w:rPr>
        <w:t xml:space="preserve"> </w:t>
      </w:r>
    </w:p>
    <w:p w14:paraId="46CB47DB">
      <w:pPr>
        <w:pStyle w:val="2"/>
        <w:tabs>
          <w:tab w:val="left" w:pos="2748"/>
          <w:tab w:val="left" w:pos="8136"/>
        </w:tabs>
        <w:spacing w:before="203" w:line="360" w:lineRule="auto"/>
        <w:ind w:right="1308"/>
        <w:rPr>
          <w:spacing w:val="-3"/>
          <w:sz w:val="24"/>
          <w:szCs w:val="24"/>
          <w:highlight w:val="none"/>
        </w:rPr>
      </w:pPr>
      <w:r>
        <w:rPr>
          <w:rFonts w:hint="eastAsia"/>
          <w:spacing w:val="-3"/>
          <w:sz w:val="24"/>
          <w:szCs w:val="24"/>
          <w:highlight w:val="none"/>
        </w:rPr>
        <w:t>时间：</w:t>
      </w:r>
      <w:r>
        <w:rPr>
          <w:rFonts w:hint="eastAsia"/>
          <w:spacing w:val="-3"/>
          <w:sz w:val="24"/>
          <w:szCs w:val="24"/>
          <w:highlight w:val="none"/>
          <w:u w:val="single"/>
        </w:rPr>
        <w:t xml:space="preserve">     </w:t>
      </w:r>
      <w:r>
        <w:rPr>
          <w:rFonts w:hint="eastAsia"/>
          <w:spacing w:val="-3"/>
          <w:sz w:val="24"/>
          <w:szCs w:val="24"/>
          <w:highlight w:val="none"/>
        </w:rPr>
        <w:t xml:space="preserve">年 </w:t>
      </w:r>
      <w:r>
        <w:rPr>
          <w:rFonts w:hint="eastAsia"/>
          <w:spacing w:val="-3"/>
          <w:sz w:val="24"/>
          <w:szCs w:val="24"/>
          <w:highlight w:val="none"/>
          <w:u w:val="single"/>
        </w:rPr>
        <w:t xml:space="preserve">       </w:t>
      </w:r>
      <w:r>
        <w:rPr>
          <w:rFonts w:hint="eastAsia"/>
          <w:spacing w:val="-3"/>
          <w:sz w:val="24"/>
          <w:szCs w:val="24"/>
          <w:highlight w:val="none"/>
        </w:rPr>
        <w:t xml:space="preserve">月 </w:t>
      </w:r>
      <w:r>
        <w:rPr>
          <w:rFonts w:hint="eastAsia"/>
          <w:spacing w:val="-3"/>
          <w:sz w:val="24"/>
          <w:szCs w:val="24"/>
          <w:highlight w:val="none"/>
          <w:u w:val="single"/>
        </w:rPr>
        <w:t xml:space="preserve">       </w:t>
      </w:r>
      <w:r>
        <w:rPr>
          <w:rFonts w:hint="eastAsia"/>
          <w:spacing w:val="-3"/>
          <w:sz w:val="24"/>
          <w:szCs w:val="24"/>
          <w:highlight w:val="none"/>
        </w:rPr>
        <w:t>日</w:t>
      </w:r>
    </w:p>
    <w:p w14:paraId="7F9080A9">
      <w:pPr>
        <w:pStyle w:val="2"/>
        <w:spacing w:line="360" w:lineRule="auto"/>
        <w:rPr>
          <w:spacing w:val="-3"/>
          <w:sz w:val="24"/>
          <w:szCs w:val="24"/>
          <w:highlight w:val="none"/>
        </w:rPr>
      </w:pPr>
    </w:p>
    <w:p w14:paraId="65A4C702">
      <w:pPr>
        <w:pStyle w:val="2"/>
        <w:spacing w:line="360" w:lineRule="auto"/>
        <w:rPr>
          <w:spacing w:val="-3"/>
          <w:sz w:val="24"/>
          <w:szCs w:val="24"/>
          <w:highlight w:val="none"/>
        </w:rPr>
      </w:pPr>
    </w:p>
    <w:p w14:paraId="7D737C0D">
      <w:pPr>
        <w:pStyle w:val="2"/>
        <w:spacing w:before="5" w:line="360" w:lineRule="auto"/>
        <w:rPr>
          <w:spacing w:val="-3"/>
          <w:sz w:val="24"/>
          <w:szCs w:val="24"/>
          <w:highlight w:val="none"/>
        </w:rPr>
      </w:pPr>
    </w:p>
    <w:p w14:paraId="526B073E">
      <w:pPr>
        <w:pStyle w:val="2"/>
        <w:spacing w:line="360" w:lineRule="auto"/>
        <w:rPr>
          <w:spacing w:val="-3"/>
          <w:sz w:val="24"/>
          <w:szCs w:val="24"/>
          <w:highlight w:val="none"/>
        </w:rPr>
      </w:pPr>
      <w:r>
        <w:rPr>
          <w:rFonts w:hint="eastAsia"/>
          <w:spacing w:val="-3"/>
          <w:sz w:val="24"/>
          <w:szCs w:val="24"/>
          <w:highlight w:val="none"/>
        </w:rPr>
        <w:t xml:space="preserve">乙方（盖章）： </w:t>
      </w:r>
    </w:p>
    <w:p w14:paraId="6F01AD90">
      <w:pPr>
        <w:pStyle w:val="2"/>
        <w:tabs>
          <w:tab w:val="left" w:pos="2748"/>
          <w:tab w:val="left" w:pos="3588"/>
          <w:tab w:val="left" w:pos="4428"/>
          <w:tab w:val="left" w:pos="8136"/>
        </w:tabs>
        <w:spacing w:before="203" w:line="360" w:lineRule="auto"/>
        <w:ind w:right="1308"/>
        <w:rPr>
          <w:spacing w:val="-3"/>
          <w:sz w:val="24"/>
          <w:szCs w:val="24"/>
          <w:highlight w:val="none"/>
        </w:rPr>
      </w:pPr>
      <w:r>
        <w:rPr>
          <w:rFonts w:hint="eastAsia"/>
          <w:spacing w:val="-3"/>
          <w:sz w:val="24"/>
          <w:szCs w:val="24"/>
          <w:highlight w:val="none"/>
        </w:rPr>
        <w:t xml:space="preserve">法定代表人或授权委托人（签字）：            </w:t>
      </w:r>
      <w:r>
        <w:rPr>
          <w:rFonts w:hint="eastAsia"/>
          <w:spacing w:val="-3"/>
          <w:sz w:val="24"/>
          <w:szCs w:val="24"/>
          <w:highlight w:val="none"/>
        </w:rPr>
        <w:tab/>
      </w:r>
      <w:r>
        <w:rPr>
          <w:rFonts w:hint="eastAsia"/>
          <w:spacing w:val="-3"/>
          <w:sz w:val="24"/>
          <w:szCs w:val="24"/>
          <w:highlight w:val="none"/>
        </w:rPr>
        <w:t xml:space="preserve"> </w:t>
      </w:r>
    </w:p>
    <w:p w14:paraId="2E6C5790">
      <w:pPr>
        <w:pStyle w:val="2"/>
        <w:tabs>
          <w:tab w:val="left" w:pos="2748"/>
          <w:tab w:val="left" w:pos="8136"/>
        </w:tabs>
        <w:spacing w:before="203" w:line="360" w:lineRule="auto"/>
        <w:ind w:right="1308"/>
        <w:rPr>
          <w:spacing w:val="-3"/>
          <w:sz w:val="24"/>
          <w:szCs w:val="24"/>
          <w:highlight w:val="none"/>
        </w:rPr>
      </w:pPr>
      <w:r>
        <w:rPr>
          <w:rFonts w:hint="eastAsia"/>
          <w:spacing w:val="-3"/>
          <w:sz w:val="24"/>
          <w:szCs w:val="24"/>
          <w:highlight w:val="none"/>
        </w:rPr>
        <w:t>时间：</w:t>
      </w:r>
      <w:r>
        <w:rPr>
          <w:rFonts w:hint="eastAsia"/>
          <w:spacing w:val="-3"/>
          <w:sz w:val="24"/>
          <w:szCs w:val="24"/>
          <w:highlight w:val="none"/>
          <w:u w:val="single"/>
        </w:rPr>
        <w:t xml:space="preserve">     </w:t>
      </w:r>
      <w:r>
        <w:rPr>
          <w:rFonts w:hint="eastAsia"/>
          <w:spacing w:val="-3"/>
          <w:sz w:val="24"/>
          <w:szCs w:val="24"/>
          <w:highlight w:val="none"/>
        </w:rPr>
        <w:t xml:space="preserve">年 </w:t>
      </w:r>
      <w:r>
        <w:rPr>
          <w:rFonts w:hint="eastAsia"/>
          <w:spacing w:val="-3"/>
          <w:sz w:val="24"/>
          <w:szCs w:val="24"/>
          <w:highlight w:val="none"/>
          <w:u w:val="single"/>
        </w:rPr>
        <w:t xml:space="preserve">       </w:t>
      </w:r>
      <w:r>
        <w:rPr>
          <w:rFonts w:hint="eastAsia"/>
          <w:spacing w:val="-3"/>
          <w:sz w:val="24"/>
          <w:szCs w:val="24"/>
          <w:highlight w:val="none"/>
        </w:rPr>
        <w:t xml:space="preserve">月 </w:t>
      </w:r>
      <w:r>
        <w:rPr>
          <w:rFonts w:hint="eastAsia"/>
          <w:spacing w:val="-3"/>
          <w:sz w:val="24"/>
          <w:szCs w:val="24"/>
          <w:highlight w:val="none"/>
          <w:u w:val="single"/>
        </w:rPr>
        <w:t xml:space="preserve">       </w:t>
      </w:r>
      <w:r>
        <w:rPr>
          <w:rFonts w:hint="eastAsia"/>
          <w:spacing w:val="-3"/>
          <w:sz w:val="24"/>
          <w:szCs w:val="24"/>
          <w:highlight w:val="none"/>
        </w:rPr>
        <w:t>日</w:t>
      </w:r>
    </w:p>
    <w:p w14:paraId="0D67F8AC">
      <w:pPr>
        <w:rPr>
          <w:rFonts w:ascii="宋体" w:hAnsi="宋体" w:cs="宋体"/>
          <w:highlight w:val="none"/>
        </w:rPr>
      </w:pPr>
    </w:p>
    <w:p w14:paraId="1DEB3E8E">
      <w:pPr>
        <w:spacing w:line="360" w:lineRule="auto"/>
        <w:outlineLvl w:val="0"/>
        <w:rPr>
          <w:rFonts w:ascii="宋体" w:hAnsi="宋体" w:cs="宋体"/>
          <w:b/>
          <w:bCs/>
          <w:sz w:val="24"/>
          <w:highlight w:val="none"/>
        </w:rPr>
      </w:pPr>
      <w:r>
        <w:rPr>
          <w:rFonts w:hint="eastAsia" w:ascii="宋体" w:hAnsi="宋体" w:cs="宋体"/>
          <w:sz w:val="24"/>
          <w:highlight w:val="none"/>
        </w:rPr>
        <w:br w:type="page"/>
      </w:r>
      <w:bookmarkStart w:id="58" w:name="_Toc6665"/>
      <w:bookmarkStart w:id="59" w:name="_Toc12490"/>
      <w:bookmarkStart w:id="60" w:name="_Toc1802"/>
      <w:r>
        <w:rPr>
          <w:rFonts w:hint="eastAsia" w:ascii="宋体" w:hAnsi="宋体" w:cs="宋体"/>
          <w:b/>
          <w:bCs/>
          <w:sz w:val="24"/>
          <w:highlight w:val="none"/>
        </w:rPr>
        <w:t>附件1：《安全生产管理协议》</w:t>
      </w:r>
      <w:bookmarkEnd w:id="58"/>
      <w:bookmarkEnd w:id="59"/>
      <w:bookmarkEnd w:id="60"/>
    </w:p>
    <w:p w14:paraId="64CBA2B4">
      <w:pPr>
        <w:jc w:val="center"/>
        <w:rPr>
          <w:sz w:val="44"/>
          <w:szCs w:val="44"/>
          <w:highlight w:val="none"/>
        </w:rPr>
      </w:pPr>
      <w:r>
        <w:rPr>
          <w:rFonts w:hint="eastAsia"/>
          <w:sz w:val="44"/>
          <w:szCs w:val="44"/>
          <w:highlight w:val="none"/>
        </w:rPr>
        <w:t>安全生产管理协议</w:t>
      </w:r>
    </w:p>
    <w:p w14:paraId="4870F7DC">
      <w:pPr>
        <w:pStyle w:val="2"/>
        <w:tabs>
          <w:tab w:val="left" w:pos="2191"/>
        </w:tabs>
        <w:spacing w:line="360" w:lineRule="auto"/>
        <w:ind w:firstLine="480" w:firstLineChars="200"/>
        <w:rPr>
          <w:rFonts w:hint="eastAsia"/>
          <w:sz w:val="24"/>
          <w:szCs w:val="24"/>
          <w:highlight w:val="none"/>
        </w:rPr>
      </w:pPr>
    </w:p>
    <w:p w14:paraId="732DBA6A">
      <w:pPr>
        <w:pStyle w:val="2"/>
        <w:tabs>
          <w:tab w:val="left" w:pos="2191"/>
        </w:tabs>
        <w:spacing w:line="360" w:lineRule="auto"/>
        <w:ind w:firstLine="480" w:firstLineChars="200"/>
        <w:rPr>
          <w:rFonts w:hint="default" w:eastAsia="宋体"/>
          <w:sz w:val="24"/>
          <w:szCs w:val="24"/>
          <w:highlight w:val="none"/>
          <w:lang w:val="en-US" w:eastAsia="zh-CN"/>
        </w:rPr>
      </w:pPr>
      <w:r>
        <w:rPr>
          <w:rFonts w:hint="eastAsia"/>
          <w:sz w:val="24"/>
          <w:szCs w:val="24"/>
          <w:highlight w:val="none"/>
        </w:rPr>
        <w:t>甲方：</w:t>
      </w:r>
      <w:r>
        <w:rPr>
          <w:rFonts w:hint="eastAsia"/>
          <w:sz w:val="24"/>
          <w:szCs w:val="24"/>
          <w:highlight w:val="none"/>
          <w:lang w:val="en-US" w:eastAsia="zh-CN"/>
        </w:rPr>
        <w:t>惠州大亚湾环境水务集团有限公司</w:t>
      </w:r>
    </w:p>
    <w:p w14:paraId="3403EC1B">
      <w:pPr>
        <w:pStyle w:val="2"/>
        <w:tabs>
          <w:tab w:val="left" w:pos="2191"/>
        </w:tabs>
        <w:spacing w:line="360" w:lineRule="auto"/>
        <w:ind w:firstLine="480" w:firstLineChars="200"/>
        <w:rPr>
          <w:sz w:val="24"/>
          <w:szCs w:val="24"/>
          <w:highlight w:val="none"/>
        </w:rPr>
      </w:pPr>
      <w:r>
        <w:rPr>
          <w:rFonts w:hint="eastAsia"/>
          <w:sz w:val="24"/>
          <w:szCs w:val="24"/>
          <w:highlight w:val="none"/>
        </w:rPr>
        <w:t>乙方：</w:t>
      </w:r>
    </w:p>
    <w:p w14:paraId="41525D97">
      <w:pPr>
        <w:pStyle w:val="2"/>
        <w:tabs>
          <w:tab w:val="left" w:pos="2191"/>
        </w:tabs>
        <w:autoSpaceDE/>
        <w:autoSpaceDN/>
        <w:spacing w:line="460" w:lineRule="atLeast"/>
        <w:ind w:firstLine="480" w:firstLineChars="200"/>
        <w:rPr>
          <w:sz w:val="24"/>
          <w:szCs w:val="24"/>
          <w:highlight w:val="none"/>
        </w:rPr>
      </w:pPr>
      <w:r>
        <w:rPr>
          <w:rFonts w:hint="eastAsia"/>
          <w:sz w:val="24"/>
          <w:szCs w:val="24"/>
          <w:highlight w:val="none"/>
        </w:rPr>
        <w:t>为加强大亚湾淡澳河水质提升服务项目资产残余价值转让</w:t>
      </w:r>
      <w:r>
        <w:rPr>
          <w:rFonts w:hint="eastAsia"/>
          <w:sz w:val="24"/>
          <w:szCs w:val="24"/>
          <w:highlight w:val="none"/>
          <w:lang w:eastAsia="zh-CN"/>
        </w:rPr>
        <w:t>合同</w:t>
      </w:r>
      <w:r>
        <w:rPr>
          <w:rFonts w:hint="eastAsia"/>
          <w:sz w:val="24"/>
          <w:szCs w:val="24"/>
          <w:highlight w:val="none"/>
        </w:rPr>
        <w:t>（</w:t>
      </w:r>
      <w:r>
        <w:rPr>
          <w:rFonts w:hint="eastAsia"/>
          <w:sz w:val="24"/>
          <w:szCs w:val="24"/>
          <w:highlight w:val="none"/>
          <w:lang w:val="en-US" w:eastAsia="zh-CN"/>
        </w:rPr>
        <w:t>下称</w:t>
      </w:r>
      <w:r>
        <w:rPr>
          <w:rFonts w:hint="eastAsia"/>
          <w:sz w:val="24"/>
          <w:szCs w:val="24"/>
          <w:highlight w:val="none"/>
        </w:rPr>
        <w:t>“主合同”）项目安全生产管理，保障双方合法权益，依据《安全生产法》《职业病防治法》《民法典》《刑法》等法规及大亚湾经济技术开发区本地规范要求，经双方协商一致，订立本协议。</w:t>
      </w:r>
    </w:p>
    <w:p w14:paraId="0FDD4891">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一、总则</w:t>
      </w:r>
    </w:p>
    <w:p w14:paraId="3735ACEE">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（一）目的与依据</w:t>
      </w:r>
    </w:p>
    <w:p w14:paraId="21380087">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为明确甲乙双方在</w:t>
      </w:r>
      <w:r>
        <w:rPr>
          <w:rFonts w:hint="eastAsia"/>
          <w:sz w:val="24"/>
          <w:szCs w:val="24"/>
          <w:highlight w:val="none"/>
          <w:lang w:val="en-US" w:eastAsia="zh-CN"/>
        </w:rPr>
        <w:t>主合同履行</w:t>
      </w:r>
      <w:r>
        <w:rPr>
          <w:rFonts w:hint="eastAsia"/>
          <w:sz w:val="24"/>
          <w:szCs w:val="24"/>
          <w:highlight w:val="none"/>
        </w:rPr>
        <w:t>中的安全生产管理责任，确保生产作业过程安全有序，保障人员生命财产安全，依据国家相关法律法规，结合项目实际，制定本协议。</w:t>
      </w:r>
    </w:p>
    <w:p w14:paraId="7C78FB41">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（二）适用范围</w:t>
      </w:r>
    </w:p>
    <w:p w14:paraId="484BE001">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本协议适用于</w:t>
      </w:r>
      <w:r>
        <w:rPr>
          <w:rFonts w:hint="eastAsia"/>
          <w:sz w:val="24"/>
          <w:szCs w:val="24"/>
          <w:highlight w:val="none"/>
          <w:lang w:val="en-US" w:eastAsia="zh-CN"/>
        </w:rPr>
        <w:t>主合同履行</w:t>
      </w:r>
      <w:r>
        <w:rPr>
          <w:rFonts w:hint="eastAsia"/>
          <w:sz w:val="24"/>
          <w:szCs w:val="24"/>
          <w:highlight w:val="none"/>
        </w:rPr>
        <w:t>全过程，涵盖乙方生产准备、作业实施、竣工验收等各阶段，及双方在项目安全生产管理方面涉及的所有活动与事项。</w:t>
      </w:r>
    </w:p>
    <w:p w14:paraId="21DD55B7">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（三）安全生产控制目标、方针与原则</w:t>
      </w:r>
    </w:p>
    <w:p w14:paraId="432E0EAB">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秉持“安全第一、预防为主、综合治理”方针，将安全生产贯穿项目始终，确保安全生产无事故。</w:t>
      </w:r>
    </w:p>
    <w:p w14:paraId="58F59102">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二、双方共同责任</w:t>
      </w:r>
    </w:p>
    <w:p w14:paraId="5FC8E03A">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双方应严格遵守国家安全生产法律法规、行业标准及项目所在地地方政府相关规定，将法律要求融入项目管理各环节，确保处置作业合法合规。</w:t>
      </w:r>
    </w:p>
    <w:p w14:paraId="384EFD7E">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三、甲方安全生产责任</w:t>
      </w:r>
    </w:p>
    <w:p w14:paraId="495F9E3E">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处置期间，甲方不定期检查乙方安全制度执行、安全措施落实、现场安全管理等情况，对发现的安全问题及时指出，对重大隐患有权停工整顿，确保安全。</w:t>
      </w:r>
    </w:p>
    <w:p w14:paraId="744697B2">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四、乙方安全生产责任</w:t>
      </w:r>
    </w:p>
    <w:p w14:paraId="53368C70">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（一）安全生产管理机构与人员配备</w:t>
      </w:r>
    </w:p>
    <w:p w14:paraId="6EB6796E">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乙方依法设立安全生产管理机构，配备足够数量、具备专业资质的安全管理人员，负责过程安全管理工作，确保安全管理体系有效运行。</w:t>
      </w:r>
    </w:p>
    <w:p w14:paraId="695D5B82">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（二）安全教育培训</w:t>
      </w:r>
    </w:p>
    <w:p w14:paraId="3D8C6F75">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乙方应及时组织员工参加安全教育培训，涵盖新员工三级教育、特种作业人员专项培训、经常性安全教育等，保证员工具备必要安全生产知识，熟悉规章制度和操作规程，考核合格后上岗。</w:t>
      </w:r>
    </w:p>
    <w:p w14:paraId="4F9C9E31">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（三）处置作业组织与现场管理</w:t>
      </w:r>
    </w:p>
    <w:p w14:paraId="466D8A9A">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乙方应严格按照合同要求编制科学合理的处置方案，并严格执行；现场设置明显安全警示标志，采取防护措施，防止无关人员进入；合理规划作业区域，确保材料堆放整齐、通道畅通。</w:t>
      </w:r>
    </w:p>
    <w:p w14:paraId="736B16C0">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（四）安全设施与设备管理</w:t>
      </w:r>
    </w:p>
    <w:p w14:paraId="6E54B7A9">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当负责施工现场内的安全设施的建立、正常使用和维护工作；并应在有较大危险因素的场所、设施、设备上设置明显的符合国家标准的安全警示标志。乙方采购、租赁符合国家标准或行业标准的安全设施设备，定期维护保养，确保正常运行；特种设备依法检测检验，取得安全使用证或标志后投入使用。</w:t>
      </w:r>
    </w:p>
    <w:p w14:paraId="4316CE99">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（五）危险作业管理</w:t>
      </w:r>
    </w:p>
    <w:p w14:paraId="5D009554">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乙方应对对危险作业实行审批管理，如动火、受限空间、高处、吊装等风险较大的危险作业，执行审批制度，安排专人现场监护，落实安全措施，配备应急救援器材，确保作业安全。</w:t>
      </w:r>
    </w:p>
    <w:p w14:paraId="7A6D97DF">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（六）安全技术交底</w:t>
      </w:r>
    </w:p>
    <w:p w14:paraId="5968367A">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乙方应每天在作业前，由技术人员向作业人员交底安全技术要求。</w:t>
      </w:r>
    </w:p>
    <w:p w14:paraId="0DFED8E4">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（七）安全检查与隐患排查</w:t>
      </w:r>
    </w:p>
    <w:p w14:paraId="04D34BE5">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定期组织开展安全检查、专职人员日常巡查检查相结合，对检查发现的隐患，下达整改通知，跟踪整改情况，形成闭环管理，重大隐患挂牌督办，确保整改到位。同时，乙方应积极配合甲方或上级主管部门组织的安全监督检查，对隐患问题应立即落实整改，并按照要求将整改情况及时回复，不得推委扯皮，敷衍整改或不落实整改。</w:t>
      </w:r>
    </w:p>
    <w:p w14:paraId="391331FC">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（八）安全事故报告与处理制度</w:t>
      </w:r>
    </w:p>
    <w:p w14:paraId="30716751">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发生生产安全事故，应立即启动事故应急预案，组织抢救伤员、保护事故现场，按规定向有关部门报告，配合事故调查，落实防范措施，承担相应责任，做好善后处理。</w:t>
      </w:r>
    </w:p>
    <w:p w14:paraId="09954EF1">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五、事故应急救援与报告</w:t>
      </w:r>
    </w:p>
    <w:p w14:paraId="40023616">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（一）应急预案制定与演练</w:t>
      </w:r>
    </w:p>
    <w:p w14:paraId="2FE1CF39">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制定项目综合应急预案和各专项应急预案，如安全生产事故综合应急预案、三防应急预案、火灾事故应急预案等，并明确应急救援组织、职责、程序、资源保障等；定期组织应急演练，检验预案有效性和应急响应能力，演练后评估总结，修订完善预案。</w:t>
      </w:r>
    </w:p>
    <w:p w14:paraId="04D78066">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（二）应急救援物资与装备</w:t>
      </w:r>
    </w:p>
    <w:p w14:paraId="5A656F7E">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乙方应结合项目潜在风险特点，统筹配备应急救援物资和装备，建立管理档案，定期维护保养，确保完好可用。</w:t>
      </w:r>
    </w:p>
    <w:p w14:paraId="00731596">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（三）事故报告程序</w:t>
      </w:r>
    </w:p>
    <w:p w14:paraId="5A0FC2AE">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发生生产安全事故，现场人员立即向乙方负责人报告，负责人接到报告后，在规定时间内向甲方和有关部门报告，报告内容包括事故发生时间、地点、简要经过、伤亡人数、初步原因、已采取措施等。</w:t>
      </w:r>
    </w:p>
    <w:p w14:paraId="29AC66FA">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（四）事故调查与处理</w:t>
      </w:r>
    </w:p>
    <w:p w14:paraId="55F75AFD">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乙方应积极配合政府有关部门开展事故调查，按照事故调查报告和处理意见，对责任单位和人员进行处理，落实防范措施，防止事故再次发生。</w:t>
      </w:r>
    </w:p>
    <w:p w14:paraId="0D6A7168">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六、职业健康管理</w:t>
      </w:r>
    </w:p>
    <w:p w14:paraId="478D5FEC">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（一）职业病危害告知</w:t>
      </w:r>
    </w:p>
    <w:p w14:paraId="15A5C2F8">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乙方在施工现场设置职业病危害告知牌，向员工告知职业病危害因素、防护措施、健康检查结果等。</w:t>
      </w:r>
    </w:p>
    <w:p w14:paraId="13355C98">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（二）职业健康检查</w:t>
      </w:r>
    </w:p>
    <w:p w14:paraId="012DE50D">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乙方应组织员工进行上岗前、在岗期间、离岗时的职业健康检查，建立职业健康监护档案，确保员工健康权益。</w:t>
      </w:r>
    </w:p>
    <w:p w14:paraId="58B8CF2E">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（三）职业病防护设施与用品</w:t>
      </w:r>
    </w:p>
    <w:p w14:paraId="44F0FF0A">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乙方应配备符合国家标准的职业病防护设施和用品，定期维护保养，并监督从业人员正确佩戴和使用。</w:t>
      </w:r>
    </w:p>
    <w:p w14:paraId="6C74F414">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（四）职业健康培训</w:t>
      </w:r>
    </w:p>
    <w:p w14:paraId="5DC48E1D">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乙方应对员工进行职业健康培训，使其了解职业病危害知识、防护技能和应急措施，提高自我保护意识和能力。</w:t>
      </w:r>
    </w:p>
    <w:p w14:paraId="588CC946">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七、环境保护与文明施工</w:t>
      </w:r>
    </w:p>
    <w:p w14:paraId="2C125AFF">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（一）环境保护措施</w:t>
      </w:r>
    </w:p>
    <w:p w14:paraId="5739B6F0">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乙方应严格按照当地相关文件要求采取有效措施减少施工对环境的影响，如控制噪声、粉尘排放，妥善处理废水、废渣等，保护周边环境。</w:t>
      </w:r>
    </w:p>
    <w:p w14:paraId="5C2BE7E8">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（二）文明处置作业要求</w:t>
      </w:r>
    </w:p>
    <w:p w14:paraId="1B6C9D81">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乙方作业现场应做到整洁、有序，材料堆放整齐，设置必要围挡和警示标志，避免对周边居民生活和交通造成干扰。</w:t>
      </w:r>
    </w:p>
    <w:p w14:paraId="30E318C2">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（三）环境卫生管理</w:t>
      </w:r>
    </w:p>
    <w:p w14:paraId="13399B7A">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乙方负责处置作业现场及生活区的环境卫生管理，定期清理垃圾和废弃物，保持环境整洁卫生。</w:t>
      </w:r>
    </w:p>
    <w:p w14:paraId="240E585C">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（四）环保培训与宣传</w:t>
      </w:r>
    </w:p>
    <w:p w14:paraId="55608E5F">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乙方应对员工进行环保培训和宣传教育，提高员工环保意识，自觉遵守环保规定，共同维护环境。</w:t>
      </w:r>
    </w:p>
    <w:p w14:paraId="7442C141">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八、违约责任与处罚措施</w:t>
      </w:r>
    </w:p>
    <w:p w14:paraId="2DEC5C04">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1. </w:t>
      </w:r>
      <w:r>
        <w:rPr>
          <w:rFonts w:hint="eastAsia"/>
          <w:sz w:val="24"/>
          <w:szCs w:val="24"/>
          <w:highlight w:val="none"/>
        </w:rPr>
        <w:t>乙方未按规定配备安全生产管理人员，或安全生产管理人员未履行职责，导致安全生产管理失控，存在重大事故隐患，责令限期改正，并扣除</w:t>
      </w:r>
      <w:r>
        <w:rPr>
          <w:sz w:val="24"/>
          <w:szCs w:val="24"/>
          <w:highlight w:val="none"/>
        </w:rPr>
        <w:t>1000</w:t>
      </w:r>
      <w:r>
        <w:rPr>
          <w:rFonts w:hint="eastAsia"/>
          <w:sz w:val="24"/>
          <w:szCs w:val="24"/>
          <w:highlight w:val="none"/>
        </w:rPr>
        <w:t>至</w:t>
      </w:r>
      <w:r>
        <w:rPr>
          <w:sz w:val="24"/>
          <w:szCs w:val="24"/>
          <w:highlight w:val="none"/>
        </w:rPr>
        <w:t>2000</w:t>
      </w:r>
      <w:r>
        <w:rPr>
          <w:rFonts w:hint="eastAsia"/>
          <w:sz w:val="24"/>
          <w:szCs w:val="24"/>
          <w:highlight w:val="none"/>
        </w:rPr>
        <w:t>元违约金；逾期未改正，扣除更高额度违约金。</w:t>
      </w:r>
    </w:p>
    <w:p w14:paraId="5F92D76C">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2. </w:t>
      </w:r>
      <w:r>
        <w:rPr>
          <w:rFonts w:hint="eastAsia"/>
          <w:sz w:val="24"/>
          <w:szCs w:val="24"/>
          <w:highlight w:val="none"/>
        </w:rPr>
        <w:t>乙方未对从业人员进行安全生产教育和培训，或未如实记录安全教育培训，或特种作业人员未持证上岗，责令限期改正，逾期未改正，扣除</w:t>
      </w:r>
      <w:r>
        <w:rPr>
          <w:sz w:val="24"/>
          <w:szCs w:val="24"/>
          <w:highlight w:val="none"/>
        </w:rPr>
        <w:t>1000</w:t>
      </w:r>
      <w:r>
        <w:rPr>
          <w:rFonts w:hint="eastAsia"/>
          <w:sz w:val="24"/>
          <w:szCs w:val="24"/>
          <w:highlight w:val="none"/>
        </w:rPr>
        <w:t>至</w:t>
      </w:r>
      <w:r>
        <w:rPr>
          <w:sz w:val="24"/>
          <w:szCs w:val="24"/>
          <w:highlight w:val="none"/>
        </w:rPr>
        <w:t>2000</w:t>
      </w:r>
      <w:r>
        <w:rPr>
          <w:rFonts w:hint="eastAsia"/>
          <w:sz w:val="24"/>
          <w:szCs w:val="24"/>
          <w:highlight w:val="none"/>
        </w:rPr>
        <w:t>元违约金。</w:t>
      </w:r>
    </w:p>
    <w:p w14:paraId="1F5F3F80">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3. </w:t>
      </w:r>
      <w:r>
        <w:rPr>
          <w:rFonts w:hint="eastAsia"/>
          <w:sz w:val="24"/>
          <w:szCs w:val="24"/>
          <w:highlight w:val="none"/>
        </w:rPr>
        <w:t>乙方未在有较大危险因素的生产经营场所和有关设施、设备上设置明显的安全警示标志，或未定期维护保养，确保正常有效的，责令限期改正，逾期未改正，扣除</w:t>
      </w:r>
      <w:r>
        <w:rPr>
          <w:sz w:val="24"/>
          <w:szCs w:val="24"/>
          <w:highlight w:val="none"/>
        </w:rPr>
        <w:t>1000</w:t>
      </w:r>
      <w:r>
        <w:rPr>
          <w:rFonts w:hint="eastAsia"/>
          <w:sz w:val="24"/>
          <w:szCs w:val="24"/>
          <w:highlight w:val="none"/>
        </w:rPr>
        <w:t>至</w:t>
      </w:r>
      <w:r>
        <w:rPr>
          <w:sz w:val="24"/>
          <w:szCs w:val="24"/>
          <w:highlight w:val="none"/>
        </w:rPr>
        <w:t>2000</w:t>
      </w:r>
      <w:r>
        <w:rPr>
          <w:rFonts w:hint="eastAsia"/>
          <w:sz w:val="24"/>
          <w:szCs w:val="24"/>
          <w:highlight w:val="none"/>
        </w:rPr>
        <w:t>元违约金。</w:t>
      </w:r>
    </w:p>
    <w:p w14:paraId="2413CF3E">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4. </w:t>
      </w:r>
      <w:r>
        <w:rPr>
          <w:rFonts w:hint="eastAsia"/>
          <w:sz w:val="24"/>
          <w:szCs w:val="24"/>
          <w:highlight w:val="none"/>
        </w:rPr>
        <w:t>乙方未对安全设备进行经常性维护、保养和定期检测，或使用应当淘汰的危及生产安全的工艺、设备，责令限期改正，逾期未改正，扣除</w:t>
      </w:r>
      <w:r>
        <w:rPr>
          <w:sz w:val="24"/>
          <w:szCs w:val="24"/>
          <w:highlight w:val="none"/>
        </w:rPr>
        <w:t>1000</w:t>
      </w:r>
      <w:r>
        <w:rPr>
          <w:rFonts w:hint="eastAsia"/>
          <w:sz w:val="24"/>
          <w:szCs w:val="24"/>
          <w:highlight w:val="none"/>
        </w:rPr>
        <w:t>至</w:t>
      </w:r>
      <w:r>
        <w:rPr>
          <w:sz w:val="24"/>
          <w:szCs w:val="24"/>
          <w:highlight w:val="none"/>
        </w:rPr>
        <w:t>2000</w:t>
      </w:r>
      <w:r>
        <w:rPr>
          <w:rFonts w:hint="eastAsia"/>
          <w:sz w:val="24"/>
          <w:szCs w:val="24"/>
          <w:highlight w:val="none"/>
        </w:rPr>
        <w:t>元违约金。</w:t>
      </w:r>
    </w:p>
    <w:p w14:paraId="27024AC7">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5. </w:t>
      </w:r>
      <w:r>
        <w:rPr>
          <w:rFonts w:hint="eastAsia"/>
          <w:sz w:val="24"/>
          <w:szCs w:val="24"/>
          <w:highlight w:val="none"/>
        </w:rPr>
        <w:t>乙方未为从业人员提供符合国家标准或行业标准的劳动防护用品，或使用不符合国家标准或行业标准的安全设备、器材，或现场检查从业人员未正确佩戴劳动防护用品、未采取与作业内容相适应的安全防护措施，责令限期改正，逾期未改正，扣除</w:t>
      </w:r>
      <w:r>
        <w:rPr>
          <w:sz w:val="24"/>
          <w:szCs w:val="24"/>
          <w:highlight w:val="none"/>
        </w:rPr>
        <w:t>500</w:t>
      </w:r>
      <w:r>
        <w:rPr>
          <w:rFonts w:hint="eastAsia"/>
          <w:sz w:val="24"/>
          <w:szCs w:val="24"/>
          <w:highlight w:val="none"/>
        </w:rPr>
        <w:t>至</w:t>
      </w:r>
      <w:r>
        <w:rPr>
          <w:sz w:val="24"/>
          <w:szCs w:val="24"/>
          <w:highlight w:val="none"/>
        </w:rPr>
        <w:t>2000</w:t>
      </w:r>
      <w:r>
        <w:rPr>
          <w:rFonts w:hint="eastAsia"/>
          <w:sz w:val="24"/>
          <w:szCs w:val="24"/>
          <w:highlight w:val="none"/>
        </w:rPr>
        <w:t>元违约金。重复出现类似问题的，扣除更高额度违约金。</w:t>
      </w:r>
    </w:p>
    <w:p w14:paraId="1DFB7230">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6. </w:t>
      </w:r>
      <w:r>
        <w:rPr>
          <w:rFonts w:hint="eastAsia"/>
          <w:sz w:val="24"/>
          <w:szCs w:val="24"/>
          <w:highlight w:val="none"/>
        </w:rPr>
        <w:t>乙方未按规定制定生产安全事故应急救援预案，或未定期组织演练，责令限期改正，逾期未改正，扣除处</w:t>
      </w:r>
      <w:r>
        <w:rPr>
          <w:sz w:val="24"/>
          <w:szCs w:val="24"/>
          <w:highlight w:val="none"/>
        </w:rPr>
        <w:t>1000</w:t>
      </w:r>
      <w:r>
        <w:rPr>
          <w:rFonts w:hint="eastAsia"/>
          <w:sz w:val="24"/>
          <w:szCs w:val="24"/>
          <w:highlight w:val="none"/>
        </w:rPr>
        <w:t>至</w:t>
      </w:r>
      <w:r>
        <w:rPr>
          <w:sz w:val="24"/>
          <w:szCs w:val="24"/>
          <w:highlight w:val="none"/>
        </w:rPr>
        <w:t>2000</w:t>
      </w:r>
      <w:r>
        <w:rPr>
          <w:rFonts w:hint="eastAsia"/>
          <w:sz w:val="24"/>
          <w:szCs w:val="24"/>
          <w:highlight w:val="none"/>
        </w:rPr>
        <w:t>元违约金。</w:t>
      </w:r>
    </w:p>
    <w:p w14:paraId="52585043">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7. </w:t>
      </w:r>
      <w:r>
        <w:rPr>
          <w:rFonts w:hint="eastAsia"/>
          <w:sz w:val="24"/>
          <w:szCs w:val="24"/>
          <w:highlight w:val="none"/>
        </w:rPr>
        <w:t>乙方发生生产安全事故，造成人员伤亡或重大社会不良影响的，扣除</w:t>
      </w:r>
      <w:r>
        <w:rPr>
          <w:sz w:val="24"/>
          <w:szCs w:val="24"/>
          <w:highlight w:val="none"/>
        </w:rPr>
        <w:t>20000</w:t>
      </w:r>
      <w:r>
        <w:rPr>
          <w:rFonts w:hint="eastAsia"/>
          <w:sz w:val="24"/>
          <w:szCs w:val="24"/>
          <w:highlight w:val="none"/>
        </w:rPr>
        <w:t>至</w:t>
      </w:r>
      <w:r>
        <w:rPr>
          <w:sz w:val="24"/>
          <w:szCs w:val="24"/>
          <w:highlight w:val="none"/>
        </w:rPr>
        <w:t>100000</w:t>
      </w:r>
      <w:r>
        <w:rPr>
          <w:rFonts w:hint="eastAsia"/>
          <w:sz w:val="24"/>
          <w:szCs w:val="24"/>
          <w:highlight w:val="none"/>
        </w:rPr>
        <w:t>元违约金；未按规定报告或采取措施组织抢救，隐瞒不报弄虚作假或主要负责人在事故调查处理期间擅离职守，扣除</w:t>
      </w:r>
      <w:r>
        <w:rPr>
          <w:sz w:val="24"/>
          <w:szCs w:val="24"/>
          <w:highlight w:val="none"/>
        </w:rPr>
        <w:t>2000</w:t>
      </w:r>
      <w:r>
        <w:rPr>
          <w:rFonts w:hint="eastAsia"/>
          <w:sz w:val="24"/>
          <w:szCs w:val="24"/>
          <w:highlight w:val="none"/>
        </w:rPr>
        <w:t>至</w:t>
      </w:r>
      <w:r>
        <w:rPr>
          <w:sz w:val="24"/>
          <w:szCs w:val="24"/>
          <w:highlight w:val="none"/>
        </w:rPr>
        <w:t>5000</w:t>
      </w:r>
      <w:r>
        <w:rPr>
          <w:rFonts w:hint="eastAsia"/>
          <w:sz w:val="24"/>
          <w:szCs w:val="24"/>
          <w:highlight w:val="none"/>
        </w:rPr>
        <w:t>元违约金。</w:t>
      </w:r>
    </w:p>
    <w:p w14:paraId="210BF65B">
      <w:pPr>
        <w:pStyle w:val="2"/>
        <w:tabs>
          <w:tab w:val="left" w:pos="2191"/>
        </w:tabs>
        <w:autoSpaceDE/>
        <w:autoSpaceDN/>
        <w:adjustRightInd/>
        <w:snapToGrid/>
        <w:spacing w:line="460" w:lineRule="atLeast"/>
        <w:ind w:firstLine="480" w:firstLineChars="200"/>
        <w:rPr>
          <w:rFonts w:hint="eastAsia"/>
          <w:sz w:val="24"/>
          <w:szCs w:val="24"/>
          <w:highlight w:val="none"/>
        </w:rPr>
      </w:pPr>
      <w:r>
        <w:rPr>
          <w:sz w:val="24"/>
          <w:szCs w:val="24"/>
          <w:highlight w:val="none"/>
        </w:rPr>
        <w:t>8</w:t>
      </w:r>
      <w:r>
        <w:rPr>
          <w:rFonts w:hint="eastAsia"/>
          <w:sz w:val="24"/>
          <w:szCs w:val="24"/>
          <w:highlight w:val="none"/>
        </w:rPr>
        <w:t>、乙方因未严格落实当地政府相关文件要求，被政府或上级主管单位处罚或通报给加甲方造成影响的，扣除</w:t>
      </w:r>
      <w:r>
        <w:rPr>
          <w:sz w:val="24"/>
          <w:szCs w:val="24"/>
          <w:highlight w:val="none"/>
        </w:rPr>
        <w:t>2000</w:t>
      </w:r>
      <w:r>
        <w:rPr>
          <w:rFonts w:hint="eastAsia"/>
          <w:sz w:val="24"/>
          <w:szCs w:val="24"/>
          <w:highlight w:val="none"/>
        </w:rPr>
        <w:t>至</w:t>
      </w:r>
      <w:r>
        <w:rPr>
          <w:sz w:val="24"/>
          <w:szCs w:val="24"/>
          <w:highlight w:val="none"/>
        </w:rPr>
        <w:t>5000</w:t>
      </w:r>
      <w:r>
        <w:rPr>
          <w:rFonts w:hint="eastAsia"/>
          <w:sz w:val="24"/>
          <w:szCs w:val="24"/>
          <w:highlight w:val="none"/>
        </w:rPr>
        <w:t>元违约金。</w:t>
      </w:r>
    </w:p>
    <w:p w14:paraId="11B1539D">
      <w:pPr>
        <w:autoSpaceDE/>
        <w:autoSpaceDN/>
        <w:adjustRightInd/>
        <w:snapToGrid/>
        <w:spacing w:line="360" w:lineRule="auto"/>
        <w:ind w:left="0" w:leftChars="0" w:firstLine="480" w:firstLineChars="200"/>
        <w:rPr>
          <w:rFonts w:hint="eastAsia"/>
          <w:sz w:val="24"/>
          <w:szCs w:val="24"/>
          <w:highlight w:val="none"/>
        </w:rPr>
      </w:pPr>
      <w:r>
        <w:rPr>
          <w:rFonts w:hint="eastAsia"/>
          <w:sz w:val="24"/>
          <w:szCs w:val="24"/>
          <w:highlight w:val="none"/>
        </w:rPr>
        <w:t>以上违约金</w:t>
      </w:r>
      <w:r>
        <w:rPr>
          <w:rFonts w:hint="eastAsia"/>
          <w:sz w:val="24"/>
          <w:szCs w:val="24"/>
          <w:highlight w:val="none"/>
          <w:lang w:eastAsia="zh-CN"/>
        </w:rPr>
        <w:t>，</w:t>
      </w:r>
      <w:r>
        <w:rPr>
          <w:rFonts w:hint="eastAsia"/>
          <w:sz w:val="24"/>
          <w:szCs w:val="24"/>
          <w:highlight w:val="none"/>
          <w:lang w:val="en-US" w:eastAsia="zh-CN"/>
        </w:rPr>
        <w:t>乙方应</w:t>
      </w:r>
      <w:r>
        <w:rPr>
          <w:rFonts w:hint="eastAsia"/>
          <w:sz w:val="24"/>
          <w:szCs w:val="24"/>
          <w:highlight w:val="none"/>
        </w:rPr>
        <w:t>在</w:t>
      </w:r>
      <w:r>
        <w:rPr>
          <w:rFonts w:hint="eastAsia"/>
          <w:sz w:val="24"/>
          <w:szCs w:val="24"/>
          <w:highlight w:val="none"/>
          <w:lang w:val="en-US" w:eastAsia="zh-CN"/>
        </w:rPr>
        <w:t>每月</w:t>
      </w:r>
      <w:r>
        <w:rPr>
          <w:rFonts w:hint="eastAsia"/>
          <w:sz w:val="24"/>
          <w:szCs w:val="24"/>
          <w:highlight w:val="none"/>
        </w:rPr>
        <w:t>支付</w:t>
      </w:r>
      <w:r>
        <w:rPr>
          <w:rFonts w:hint="eastAsia"/>
          <w:sz w:val="24"/>
          <w:szCs w:val="24"/>
          <w:highlight w:val="none"/>
          <w:lang w:val="en-US" w:eastAsia="zh-CN"/>
        </w:rPr>
        <w:t>处置</w:t>
      </w:r>
      <w:r>
        <w:rPr>
          <w:rFonts w:hint="eastAsia"/>
          <w:sz w:val="24"/>
          <w:szCs w:val="24"/>
          <w:highlight w:val="none"/>
        </w:rPr>
        <w:t>款</w:t>
      </w:r>
      <w:r>
        <w:rPr>
          <w:rFonts w:hint="eastAsia"/>
          <w:sz w:val="24"/>
          <w:szCs w:val="24"/>
          <w:highlight w:val="none"/>
          <w:lang w:val="en-US" w:eastAsia="zh-CN"/>
        </w:rPr>
        <w:t>或调价款时一并支付</w:t>
      </w:r>
      <w:r>
        <w:rPr>
          <w:rFonts w:hint="eastAsia"/>
          <w:sz w:val="24"/>
          <w:szCs w:val="24"/>
          <w:highlight w:val="none"/>
        </w:rPr>
        <w:t>，</w:t>
      </w:r>
      <w:r>
        <w:rPr>
          <w:rFonts w:hint="eastAsia"/>
          <w:sz w:val="24"/>
          <w:szCs w:val="24"/>
          <w:highlight w:val="none"/>
          <w:lang w:val="en-US" w:eastAsia="zh-CN"/>
        </w:rPr>
        <w:t>如乙方未按要求支付的，甲方还有权选择在定金或者履约保证金中直接</w:t>
      </w:r>
      <w:r>
        <w:rPr>
          <w:rFonts w:hint="eastAsia"/>
          <w:sz w:val="24"/>
          <w:szCs w:val="24"/>
          <w:highlight w:val="none"/>
        </w:rPr>
        <w:t>扣除</w:t>
      </w:r>
      <w:r>
        <w:rPr>
          <w:rFonts w:hint="eastAsia" w:eastAsia="宋体"/>
          <w:sz w:val="24"/>
          <w:szCs w:val="24"/>
          <w:highlight w:val="none"/>
          <w:lang w:eastAsia="zh-CN"/>
        </w:rPr>
        <w:t>，</w:t>
      </w:r>
      <w:r>
        <w:rPr>
          <w:rFonts w:hint="eastAsia" w:eastAsia="宋体"/>
          <w:sz w:val="24"/>
          <w:szCs w:val="24"/>
          <w:highlight w:val="none"/>
          <w:lang w:val="en-US" w:eastAsia="zh-CN"/>
        </w:rPr>
        <w:t>乙方对此无异议</w:t>
      </w:r>
      <w:r>
        <w:rPr>
          <w:rFonts w:hint="eastAsia"/>
          <w:sz w:val="24"/>
          <w:szCs w:val="24"/>
          <w:highlight w:val="none"/>
        </w:rPr>
        <w:t>。</w:t>
      </w:r>
    </w:p>
    <w:p w14:paraId="2DC939D2">
      <w:pPr>
        <w:pStyle w:val="2"/>
        <w:tabs>
          <w:tab w:val="left" w:pos="2191"/>
        </w:tabs>
        <w:autoSpaceDE/>
        <w:autoSpaceDN/>
        <w:adjustRightInd/>
        <w:snapToGrid/>
        <w:spacing w:line="460" w:lineRule="atLeast"/>
        <w:ind w:firstLine="480" w:firstLineChars="200"/>
        <w:rPr>
          <w:sz w:val="24"/>
          <w:szCs w:val="24"/>
          <w:highlight w:val="none"/>
        </w:rPr>
      </w:pPr>
      <w:r>
        <w:rPr>
          <w:sz w:val="24"/>
          <w:szCs w:val="24"/>
          <w:highlight w:val="none"/>
        </w:rPr>
        <w:t xml:space="preserve"> </w:t>
      </w:r>
      <w:r>
        <w:rPr>
          <w:rFonts w:hint="eastAsia"/>
          <w:sz w:val="24"/>
          <w:szCs w:val="24"/>
          <w:highlight w:val="none"/>
        </w:rPr>
        <w:t>九、其他条款</w:t>
      </w:r>
    </w:p>
    <w:p w14:paraId="1BBC0662">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（一）协议期限</w:t>
      </w:r>
    </w:p>
    <w:p w14:paraId="174D8FF5">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本协议自双方签字盖章之日起生效，至项目主合同履行完后终止。但本协议约定的双方保密义务，等在协议终止后仍然有效。</w:t>
      </w:r>
    </w:p>
    <w:p w14:paraId="15985FE1">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（二）争议解决</w:t>
      </w:r>
    </w:p>
    <w:p w14:paraId="11A30538">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本协议履行过程中如发生争议，双方应友好协商解决；协商不成的，可向</w:t>
      </w:r>
      <w:r>
        <w:rPr>
          <w:rFonts w:hint="eastAsia"/>
          <w:sz w:val="24"/>
          <w:szCs w:val="24"/>
          <w:highlight w:val="none"/>
          <w:lang w:val="en-US" w:eastAsia="zh-CN"/>
        </w:rPr>
        <w:t>甲方所在地</w:t>
      </w:r>
      <w:r>
        <w:rPr>
          <w:rFonts w:hint="eastAsia"/>
          <w:sz w:val="24"/>
          <w:szCs w:val="24"/>
          <w:highlight w:val="none"/>
        </w:rPr>
        <w:t>人民法院提起诉讼。</w:t>
      </w:r>
    </w:p>
    <w:p w14:paraId="360BFDF3">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（三）协议份数</w:t>
      </w:r>
    </w:p>
    <w:p w14:paraId="051A2D7F">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本协议份数与主合同份数一致，附在每份主合同后，具有同等法律效力。</w:t>
      </w:r>
    </w:p>
    <w:p w14:paraId="585008EC">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（四）补充条款</w:t>
      </w:r>
    </w:p>
    <w:p w14:paraId="117330E3">
      <w:pPr>
        <w:pStyle w:val="2"/>
        <w:tabs>
          <w:tab w:val="left" w:pos="2191"/>
        </w:tabs>
        <w:autoSpaceDE/>
        <w:autoSpaceDN/>
        <w:adjustRightInd/>
        <w:snapToGrid/>
        <w:spacing w:line="460" w:lineRule="atLeast"/>
        <w:ind w:firstLine="480" w:firstLineChars="200"/>
        <w:rPr>
          <w:sz w:val="24"/>
          <w:szCs w:val="24"/>
          <w:highlight w:val="none"/>
        </w:rPr>
      </w:pPr>
      <w:r>
        <w:rPr>
          <w:rFonts w:hint="eastAsia"/>
          <w:sz w:val="24"/>
          <w:szCs w:val="24"/>
          <w:highlight w:val="none"/>
        </w:rPr>
        <w:t>经双方协商一致，可对本协议进行补充或修改，补充协议与本协议具有同等法律效力。</w:t>
      </w:r>
    </w:p>
    <w:p w14:paraId="0B271E34">
      <w:pPr>
        <w:pStyle w:val="2"/>
        <w:tabs>
          <w:tab w:val="left" w:pos="2191"/>
        </w:tabs>
        <w:spacing w:line="360" w:lineRule="auto"/>
        <w:ind w:firstLine="480" w:firstLineChars="200"/>
        <w:rPr>
          <w:sz w:val="24"/>
          <w:szCs w:val="24"/>
          <w:highlight w:val="none"/>
        </w:rPr>
      </w:pPr>
    </w:p>
    <w:p w14:paraId="31ECA8F4">
      <w:pPr>
        <w:pStyle w:val="2"/>
        <w:tabs>
          <w:tab w:val="left" w:pos="2191"/>
        </w:tabs>
        <w:spacing w:line="360" w:lineRule="auto"/>
        <w:ind w:firstLine="480" w:firstLineChars="200"/>
        <w:rPr>
          <w:rFonts w:hint="eastAsia"/>
          <w:sz w:val="24"/>
          <w:szCs w:val="24"/>
          <w:highlight w:val="none"/>
          <w:u w:val="single"/>
          <w:lang w:val="en-US" w:eastAsia="zh-CN"/>
        </w:rPr>
      </w:pPr>
      <w:r>
        <w:rPr>
          <w:rFonts w:hint="eastAsia"/>
          <w:sz w:val="24"/>
          <w:szCs w:val="24"/>
          <w:highlight w:val="none"/>
        </w:rPr>
        <w:t>甲方（盖章）：</w:t>
      </w:r>
      <w:r>
        <w:rPr>
          <w:rFonts w:hint="eastAsia"/>
          <w:sz w:val="24"/>
          <w:szCs w:val="24"/>
          <w:highlight w:val="none"/>
          <w:u w:val="single"/>
          <w:lang w:val="en-US" w:eastAsia="zh-CN"/>
        </w:rPr>
        <w:t>惠州大亚湾环境水务集团有限公司</w:t>
      </w:r>
    </w:p>
    <w:p w14:paraId="021D1050">
      <w:pPr>
        <w:pStyle w:val="2"/>
        <w:tabs>
          <w:tab w:val="left" w:pos="2191"/>
        </w:tabs>
        <w:spacing w:line="360" w:lineRule="auto"/>
        <w:ind w:firstLine="480" w:firstLineChars="200"/>
        <w:rPr>
          <w:sz w:val="24"/>
          <w:szCs w:val="24"/>
          <w:highlight w:val="none"/>
        </w:rPr>
      </w:pPr>
      <w:r>
        <w:rPr>
          <w:rFonts w:hint="eastAsia"/>
          <w:sz w:val="24"/>
          <w:szCs w:val="24"/>
          <w:highlight w:val="none"/>
        </w:rPr>
        <w:t>甲方代表（签字）：</w:t>
      </w:r>
      <w:r>
        <w:rPr>
          <w:sz w:val="24"/>
          <w:szCs w:val="24"/>
          <w:highlight w:val="none"/>
        </w:rPr>
        <w:t>______</w:t>
      </w:r>
    </w:p>
    <w:p w14:paraId="30079106">
      <w:pPr>
        <w:pStyle w:val="2"/>
        <w:tabs>
          <w:tab w:val="left" w:pos="2191"/>
        </w:tabs>
        <w:spacing w:line="360" w:lineRule="auto"/>
        <w:ind w:firstLine="480" w:firstLineChars="200"/>
        <w:rPr>
          <w:sz w:val="24"/>
          <w:szCs w:val="24"/>
          <w:highlight w:val="none"/>
        </w:rPr>
      </w:pPr>
      <w:r>
        <w:rPr>
          <w:rFonts w:hint="eastAsia"/>
          <w:sz w:val="24"/>
          <w:szCs w:val="24"/>
          <w:highlight w:val="none"/>
        </w:rPr>
        <w:t>签订日期：</w:t>
      </w:r>
      <w:r>
        <w:rPr>
          <w:sz w:val="24"/>
          <w:szCs w:val="24"/>
          <w:highlight w:val="none"/>
        </w:rPr>
        <w:t>______</w:t>
      </w:r>
      <w:r>
        <w:rPr>
          <w:rFonts w:hint="eastAsia"/>
          <w:sz w:val="24"/>
          <w:szCs w:val="24"/>
          <w:highlight w:val="none"/>
        </w:rPr>
        <w:t>年</w:t>
      </w:r>
      <w:r>
        <w:rPr>
          <w:sz w:val="24"/>
          <w:szCs w:val="24"/>
          <w:highlight w:val="none"/>
        </w:rPr>
        <w:t>____</w:t>
      </w:r>
      <w:r>
        <w:rPr>
          <w:rFonts w:hint="eastAsia"/>
          <w:sz w:val="24"/>
          <w:szCs w:val="24"/>
          <w:highlight w:val="none"/>
        </w:rPr>
        <w:t>月</w:t>
      </w:r>
      <w:r>
        <w:rPr>
          <w:sz w:val="24"/>
          <w:szCs w:val="24"/>
          <w:highlight w:val="none"/>
        </w:rPr>
        <w:t>____</w:t>
      </w:r>
      <w:r>
        <w:rPr>
          <w:rFonts w:hint="eastAsia"/>
          <w:sz w:val="24"/>
          <w:szCs w:val="24"/>
          <w:highlight w:val="none"/>
        </w:rPr>
        <w:t>日</w:t>
      </w:r>
    </w:p>
    <w:p w14:paraId="2D53635B">
      <w:pPr>
        <w:pStyle w:val="2"/>
        <w:tabs>
          <w:tab w:val="left" w:pos="2191"/>
        </w:tabs>
        <w:spacing w:line="360" w:lineRule="auto"/>
        <w:ind w:firstLine="480" w:firstLineChars="200"/>
        <w:rPr>
          <w:sz w:val="24"/>
          <w:szCs w:val="24"/>
          <w:highlight w:val="none"/>
        </w:rPr>
      </w:pPr>
    </w:p>
    <w:p w14:paraId="7317722C">
      <w:pPr>
        <w:pStyle w:val="2"/>
        <w:tabs>
          <w:tab w:val="left" w:pos="2191"/>
        </w:tabs>
        <w:spacing w:line="360" w:lineRule="auto"/>
        <w:ind w:firstLine="480" w:firstLineChars="200"/>
        <w:rPr>
          <w:sz w:val="24"/>
          <w:szCs w:val="24"/>
          <w:highlight w:val="none"/>
        </w:rPr>
      </w:pPr>
      <w:r>
        <w:rPr>
          <w:rFonts w:hint="eastAsia"/>
          <w:sz w:val="24"/>
          <w:szCs w:val="24"/>
          <w:highlight w:val="none"/>
        </w:rPr>
        <w:t>乙方（盖章）：</w:t>
      </w:r>
      <w:r>
        <w:rPr>
          <w:sz w:val="24"/>
          <w:szCs w:val="24"/>
          <w:highlight w:val="none"/>
        </w:rPr>
        <w:t>__________________</w:t>
      </w:r>
    </w:p>
    <w:p w14:paraId="6583F333">
      <w:pPr>
        <w:pStyle w:val="2"/>
        <w:tabs>
          <w:tab w:val="left" w:pos="2191"/>
        </w:tabs>
        <w:spacing w:line="360" w:lineRule="auto"/>
        <w:ind w:firstLine="480" w:firstLineChars="200"/>
        <w:rPr>
          <w:sz w:val="24"/>
          <w:szCs w:val="24"/>
          <w:highlight w:val="none"/>
        </w:rPr>
      </w:pPr>
      <w:r>
        <w:rPr>
          <w:rFonts w:hint="eastAsia"/>
          <w:sz w:val="24"/>
          <w:szCs w:val="24"/>
          <w:highlight w:val="none"/>
        </w:rPr>
        <w:t>乙方代表（签字）：</w:t>
      </w:r>
      <w:r>
        <w:rPr>
          <w:sz w:val="24"/>
          <w:szCs w:val="24"/>
          <w:highlight w:val="none"/>
        </w:rPr>
        <w:t>______</w:t>
      </w:r>
    </w:p>
    <w:p w14:paraId="1215D70D">
      <w:pPr>
        <w:pStyle w:val="2"/>
        <w:tabs>
          <w:tab w:val="left" w:pos="2191"/>
        </w:tabs>
        <w:spacing w:line="360" w:lineRule="auto"/>
        <w:ind w:firstLine="480" w:firstLineChars="200"/>
        <w:rPr>
          <w:sz w:val="24"/>
          <w:szCs w:val="24"/>
          <w:highlight w:val="none"/>
        </w:rPr>
      </w:pPr>
      <w:r>
        <w:rPr>
          <w:rFonts w:hint="eastAsia"/>
          <w:sz w:val="24"/>
          <w:szCs w:val="24"/>
          <w:highlight w:val="none"/>
        </w:rPr>
        <w:t>签订日期：</w:t>
      </w:r>
      <w:r>
        <w:rPr>
          <w:sz w:val="24"/>
          <w:szCs w:val="24"/>
          <w:highlight w:val="none"/>
        </w:rPr>
        <w:t>______</w:t>
      </w:r>
      <w:r>
        <w:rPr>
          <w:rFonts w:hint="eastAsia"/>
          <w:sz w:val="24"/>
          <w:szCs w:val="24"/>
          <w:highlight w:val="none"/>
        </w:rPr>
        <w:t>年</w:t>
      </w:r>
      <w:r>
        <w:rPr>
          <w:sz w:val="24"/>
          <w:szCs w:val="24"/>
          <w:highlight w:val="none"/>
        </w:rPr>
        <w:t>____</w:t>
      </w:r>
      <w:r>
        <w:rPr>
          <w:rFonts w:hint="eastAsia"/>
          <w:sz w:val="24"/>
          <w:szCs w:val="24"/>
          <w:highlight w:val="none"/>
        </w:rPr>
        <w:t>月</w:t>
      </w:r>
      <w:r>
        <w:rPr>
          <w:sz w:val="24"/>
          <w:szCs w:val="24"/>
          <w:highlight w:val="none"/>
        </w:rPr>
        <w:t>____</w:t>
      </w:r>
      <w:r>
        <w:rPr>
          <w:rFonts w:hint="eastAsia"/>
          <w:sz w:val="24"/>
          <w:szCs w:val="24"/>
          <w:highlight w:val="none"/>
        </w:rPr>
        <w:t>日</w:t>
      </w:r>
    </w:p>
    <w:p w14:paraId="6AE7DA4C">
      <w:pPr>
        <w:pStyle w:val="2"/>
        <w:tabs>
          <w:tab w:val="left" w:pos="2191"/>
        </w:tabs>
        <w:spacing w:line="360" w:lineRule="auto"/>
        <w:ind w:firstLine="480" w:firstLineChars="200"/>
        <w:rPr>
          <w:rFonts w:ascii="宋体" w:hAnsi="宋体" w:cs="宋体"/>
          <w:sz w:val="24"/>
          <w:szCs w:val="24"/>
          <w:highlight w:val="none"/>
        </w:rPr>
      </w:pPr>
    </w:p>
    <w:p w14:paraId="66509BDC">
      <w:pPr>
        <w:jc w:val="left"/>
        <w:outlineLvl w:val="0"/>
        <w:rPr>
          <w:rFonts w:hint="eastAsia"/>
          <w:b/>
          <w:bCs/>
          <w:i w:val="0"/>
          <w:iCs/>
          <w:sz w:val="24"/>
          <w:highlight w:val="none"/>
        </w:rPr>
      </w:pPr>
      <w:r>
        <w:rPr>
          <w:sz w:val="24"/>
          <w:szCs w:val="24"/>
          <w:highlight w:val="none"/>
        </w:rPr>
        <w:br w:type="page"/>
      </w:r>
      <w:bookmarkStart w:id="61" w:name="_Toc3342"/>
      <w:bookmarkStart w:id="62" w:name="_Toc17973"/>
      <w:bookmarkStart w:id="63" w:name="_Toc17861"/>
      <w:r>
        <w:rPr>
          <w:rFonts w:hint="eastAsia"/>
          <w:b/>
          <w:bCs/>
          <w:i w:val="0"/>
          <w:iCs/>
          <w:sz w:val="24"/>
          <w:highlight w:val="none"/>
        </w:rPr>
        <w:t>附件2：《廉洁协议》</w:t>
      </w:r>
      <w:bookmarkEnd w:id="61"/>
      <w:bookmarkEnd w:id="62"/>
      <w:bookmarkEnd w:id="63"/>
      <w:bookmarkStart w:id="64" w:name="_Toc24660"/>
      <w:bookmarkStart w:id="65" w:name="_Toc19154"/>
      <w:bookmarkStart w:id="66" w:name="_Toc13006"/>
    </w:p>
    <w:p w14:paraId="0D32BFCB">
      <w:pPr>
        <w:jc w:val="center"/>
        <w:rPr>
          <w:sz w:val="44"/>
          <w:szCs w:val="44"/>
          <w:highlight w:val="none"/>
        </w:rPr>
      </w:pPr>
      <w:r>
        <w:rPr>
          <w:rFonts w:hint="eastAsia" w:eastAsia="宋体"/>
          <w:sz w:val="44"/>
          <w:szCs w:val="44"/>
          <w:highlight w:val="none"/>
          <w:lang w:val="en-US" w:eastAsia="zh-CN"/>
        </w:rPr>
        <w:t>廉洁</w:t>
      </w:r>
      <w:r>
        <w:rPr>
          <w:rFonts w:hint="eastAsia"/>
          <w:sz w:val="44"/>
          <w:szCs w:val="44"/>
          <w:highlight w:val="none"/>
        </w:rPr>
        <w:t>协议</w:t>
      </w:r>
    </w:p>
    <w:p w14:paraId="691C80DB">
      <w:pPr>
        <w:pStyle w:val="39"/>
        <w:spacing w:beforeLines="0" w:afterLines="0" w:line="500" w:lineRule="exact"/>
        <w:ind w:firstLine="480" w:firstLineChars="200"/>
        <w:jc w:val="both"/>
        <w:rPr>
          <w:rFonts w:hint="eastAsia"/>
          <w:i w:val="0"/>
          <w:iCs/>
          <w:sz w:val="24"/>
          <w:highlight w:val="none"/>
        </w:rPr>
      </w:pPr>
    </w:p>
    <w:p w14:paraId="293CF8F6">
      <w:pPr>
        <w:pStyle w:val="2"/>
        <w:tabs>
          <w:tab w:val="left" w:pos="2191"/>
        </w:tabs>
        <w:spacing w:line="360" w:lineRule="auto"/>
        <w:ind w:firstLine="480" w:firstLineChars="200"/>
        <w:rPr>
          <w:rFonts w:hint="default" w:eastAsia="宋体"/>
          <w:sz w:val="24"/>
          <w:szCs w:val="24"/>
          <w:highlight w:val="none"/>
          <w:lang w:val="en-US" w:eastAsia="zh-CN"/>
        </w:rPr>
      </w:pPr>
      <w:r>
        <w:rPr>
          <w:rFonts w:hint="eastAsia"/>
          <w:sz w:val="24"/>
          <w:szCs w:val="24"/>
          <w:highlight w:val="none"/>
        </w:rPr>
        <w:t>甲方：</w:t>
      </w:r>
      <w:r>
        <w:rPr>
          <w:rFonts w:hint="eastAsia"/>
          <w:sz w:val="24"/>
          <w:szCs w:val="24"/>
          <w:highlight w:val="none"/>
          <w:lang w:val="en-US" w:eastAsia="zh-CN"/>
        </w:rPr>
        <w:t>惠州大亚湾环境水务集团有限公司</w:t>
      </w:r>
    </w:p>
    <w:p w14:paraId="3E426A0F">
      <w:pPr>
        <w:pStyle w:val="2"/>
        <w:tabs>
          <w:tab w:val="left" w:pos="2191"/>
        </w:tabs>
        <w:spacing w:line="360" w:lineRule="auto"/>
        <w:ind w:firstLine="480" w:firstLineChars="200"/>
        <w:rPr>
          <w:sz w:val="24"/>
          <w:szCs w:val="24"/>
          <w:highlight w:val="none"/>
        </w:rPr>
      </w:pPr>
      <w:r>
        <w:rPr>
          <w:rFonts w:hint="eastAsia"/>
          <w:sz w:val="24"/>
          <w:szCs w:val="24"/>
          <w:highlight w:val="none"/>
        </w:rPr>
        <w:t>乙方：</w:t>
      </w:r>
    </w:p>
    <w:p w14:paraId="657EAD30">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为加强</w:t>
      </w:r>
      <w:r>
        <w:rPr>
          <w:rFonts w:hint="eastAsia" w:ascii="宋体" w:hAnsi="宋体" w:eastAsia="宋体" w:cs="宋体"/>
          <w:i w:val="0"/>
          <w:kern w:val="0"/>
          <w:sz w:val="24"/>
          <w:szCs w:val="24"/>
          <w:highlight w:val="none"/>
          <w:u w:val="none"/>
          <w:lang w:eastAsia="zh-CN"/>
        </w:rPr>
        <w:t>【</w:t>
      </w:r>
      <w:r>
        <w:rPr>
          <w:rFonts w:hint="eastAsia" w:cs="宋体"/>
          <w:i w:val="0"/>
          <w:kern w:val="0"/>
          <w:sz w:val="24"/>
          <w:szCs w:val="24"/>
          <w:highlight w:val="none"/>
          <w:u w:val="none"/>
          <w:lang w:val="en-US" w:eastAsia="zh-CN"/>
        </w:rPr>
        <w:t>大亚湾淡澳河水质提升服务项目资产残余价值转让合同</w:t>
      </w:r>
      <w:r>
        <w:rPr>
          <w:rFonts w:hint="eastAsia" w:ascii="宋体" w:hAnsi="宋体" w:eastAsia="宋体" w:cs="宋体"/>
          <w:i w:val="0"/>
          <w:kern w:val="0"/>
          <w:sz w:val="24"/>
          <w:szCs w:val="24"/>
          <w:highlight w:val="none"/>
          <w:u w:val="none"/>
          <w:lang w:eastAsia="zh-CN"/>
        </w:rPr>
        <w:t>】</w:t>
      </w:r>
      <w:r>
        <w:rPr>
          <w:rFonts w:hint="eastAsia" w:ascii="宋体" w:hAnsi="宋体" w:eastAsia="宋体" w:cs="宋体"/>
          <w:i w:val="0"/>
          <w:kern w:val="0"/>
          <w:sz w:val="24"/>
          <w:szCs w:val="24"/>
          <w:highlight w:val="none"/>
          <w:u w:val="none"/>
          <w:lang w:val="en-US" w:eastAsia="zh-CN"/>
        </w:rPr>
        <w:t>（下称“主合同”）履行</w:t>
      </w:r>
      <w:r>
        <w:rPr>
          <w:rFonts w:hint="eastAsia" w:ascii="宋体" w:hAnsi="宋体" w:eastAsia="宋体" w:cs="宋体"/>
          <w:i w:val="0"/>
          <w:kern w:val="0"/>
          <w:sz w:val="24"/>
          <w:szCs w:val="24"/>
          <w:highlight w:val="none"/>
          <w:u w:val="none"/>
        </w:rPr>
        <w:t>过程</w:t>
      </w:r>
      <w:r>
        <w:rPr>
          <w:rFonts w:hint="eastAsia" w:ascii="宋体" w:hAnsi="宋体" w:eastAsia="宋体" w:cs="宋体"/>
          <w:i w:val="0"/>
          <w:kern w:val="0"/>
          <w:sz w:val="24"/>
          <w:szCs w:val="24"/>
          <w:highlight w:val="none"/>
        </w:rPr>
        <w:t>中的</w:t>
      </w:r>
      <w:r>
        <w:rPr>
          <w:rFonts w:hint="eastAsia" w:ascii="宋体" w:hAnsi="宋体" w:eastAsia="宋体" w:cs="宋体"/>
          <w:i w:val="0"/>
          <w:kern w:val="0"/>
          <w:sz w:val="24"/>
          <w:szCs w:val="24"/>
          <w:highlight w:val="none"/>
          <w:lang w:eastAsia="zh-CN"/>
        </w:rPr>
        <w:t>廉洁</w:t>
      </w:r>
      <w:r>
        <w:rPr>
          <w:rFonts w:hint="eastAsia" w:ascii="宋体" w:hAnsi="宋体" w:eastAsia="宋体" w:cs="宋体"/>
          <w:i w:val="0"/>
          <w:kern w:val="0"/>
          <w:sz w:val="24"/>
          <w:szCs w:val="24"/>
          <w:highlight w:val="none"/>
        </w:rPr>
        <w:t>建设，根据《中华人民共和国监察法》《中华人民共和国反不正当竞争法》等法律法规，特订立本协议。</w:t>
      </w:r>
    </w:p>
    <w:p w14:paraId="5807E1BE">
      <w:pPr>
        <w:pStyle w:val="2"/>
        <w:tabs>
          <w:tab w:val="left" w:pos="2191"/>
        </w:tabs>
        <w:autoSpaceDE/>
        <w:autoSpaceDN/>
        <w:spacing w:line="460" w:lineRule="atLeast"/>
        <w:ind w:firstLine="480"/>
        <w:rPr>
          <w:rFonts w:hint="eastAsia" w:ascii="宋体" w:hAnsi="宋体" w:eastAsia="宋体" w:cs="宋体"/>
          <w:b w:val="0"/>
          <w:bCs w:val="0"/>
          <w:i w:val="0"/>
          <w:iCs w:val="0"/>
          <w:kern w:val="0"/>
          <w:sz w:val="24"/>
          <w:szCs w:val="24"/>
          <w:highlight w:val="none"/>
        </w:rPr>
      </w:pPr>
      <w:bookmarkStart w:id="67" w:name="_Toc20607"/>
      <w:bookmarkStart w:id="68" w:name="_Toc10855_WPSOffice_Level1"/>
      <w:bookmarkStart w:id="69" w:name="_Toc5336_WPSOffice_Level1"/>
      <w:bookmarkStart w:id="70" w:name="_Toc3932"/>
      <w:bookmarkStart w:id="71" w:name="_Toc3649"/>
      <w:bookmarkStart w:id="72" w:name="_Toc11946_WPSOffice_Level1"/>
      <w:bookmarkStart w:id="73" w:name="_Toc26641"/>
      <w:bookmarkStart w:id="74" w:name="_Toc2344"/>
      <w:bookmarkStart w:id="75" w:name="_Toc11041"/>
      <w:bookmarkStart w:id="76" w:name="_Toc638"/>
      <w:bookmarkStart w:id="77" w:name="_Toc17730_WPSOffice_Level1"/>
      <w:bookmarkStart w:id="78" w:name="_Toc2227"/>
      <w:bookmarkStart w:id="79" w:name="_Toc6741"/>
      <w:bookmarkStart w:id="80" w:name="_Toc2403"/>
      <w:bookmarkStart w:id="81" w:name="_Toc29863"/>
      <w:bookmarkStart w:id="82" w:name="_Toc7202"/>
      <w:r>
        <w:rPr>
          <w:rFonts w:hint="eastAsia" w:ascii="宋体" w:hAnsi="宋体" w:eastAsia="宋体" w:cs="宋体"/>
          <w:b w:val="0"/>
          <w:bCs w:val="0"/>
          <w:i w:val="0"/>
          <w:iCs w:val="0"/>
          <w:kern w:val="0"/>
          <w:sz w:val="24"/>
          <w:szCs w:val="24"/>
          <w:highlight w:val="none"/>
        </w:rPr>
        <w:t>第一条 双方责任</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1768CBF">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lang w:eastAsia="zh-CN"/>
        </w:rPr>
      </w:pPr>
      <w:r>
        <w:rPr>
          <w:rFonts w:hint="eastAsia" w:ascii="宋体" w:hAnsi="宋体" w:eastAsia="宋体" w:cs="宋体"/>
          <w:i w:val="0"/>
          <w:kern w:val="0"/>
          <w:sz w:val="24"/>
          <w:szCs w:val="24"/>
          <w:highlight w:val="none"/>
        </w:rPr>
        <w:t>（一）</w:t>
      </w:r>
      <w:bookmarkStart w:id="83" w:name="_Toc12624_WPSOffice_Level1"/>
      <w:bookmarkStart w:id="84" w:name="_Toc736"/>
      <w:bookmarkStart w:id="85" w:name="_Toc12936_WPSOffice_Level1"/>
      <w:bookmarkStart w:id="86" w:name="_Toc16444_WPSOffice_Level1"/>
      <w:bookmarkStart w:id="87" w:name="_Toc29762"/>
      <w:bookmarkStart w:id="88" w:name="_Toc18251"/>
      <w:bookmarkStart w:id="89" w:name="_Toc4299"/>
      <w:bookmarkStart w:id="90" w:name="_Toc7359"/>
      <w:bookmarkStart w:id="91" w:name="_Toc10126"/>
      <w:bookmarkStart w:id="92" w:name="_Toc29669"/>
      <w:bookmarkStart w:id="93" w:name="_Toc3896_WPSOffice_Level1"/>
      <w:bookmarkStart w:id="94" w:name="_Toc10045"/>
      <w:bookmarkStart w:id="95" w:name="_Toc12207"/>
      <w:bookmarkStart w:id="96" w:name="_Toc28709"/>
      <w:bookmarkStart w:id="97" w:name="_Toc3507"/>
      <w:bookmarkStart w:id="98" w:name="_Toc1192"/>
      <w:r>
        <w:rPr>
          <w:rFonts w:hint="eastAsia" w:ascii="宋体" w:hAnsi="宋体" w:eastAsia="宋体" w:cs="宋体"/>
          <w:i w:val="0"/>
          <w:kern w:val="0"/>
          <w:sz w:val="24"/>
          <w:szCs w:val="24"/>
          <w:highlight w:val="none"/>
        </w:rPr>
        <w:t>双方应遵守《中华人民共和国监察法》《反不正当竞争法》等法律法规</w:t>
      </w:r>
      <w:r>
        <w:rPr>
          <w:rFonts w:hint="eastAsia" w:ascii="宋体" w:hAnsi="宋体" w:eastAsia="宋体" w:cs="宋体"/>
          <w:i w:val="0"/>
          <w:kern w:val="0"/>
          <w:sz w:val="24"/>
          <w:szCs w:val="24"/>
          <w:highlight w:val="none"/>
          <w:lang w:eastAsia="zh-CN"/>
        </w:rPr>
        <w:t>。</w:t>
      </w:r>
      <w:r>
        <w:rPr>
          <w:rFonts w:hint="eastAsia" w:ascii="宋体" w:hAnsi="宋体" w:eastAsia="宋体" w:cs="宋体"/>
          <w:i w:val="0"/>
          <w:kern w:val="0"/>
          <w:sz w:val="24"/>
          <w:szCs w:val="24"/>
          <w:highlight w:val="none"/>
        </w:rPr>
        <w:br w:type="textWrapping"/>
      </w:r>
      <w:r>
        <w:rPr>
          <w:rFonts w:hint="eastAsia" w:ascii="宋体" w:hAnsi="宋体" w:eastAsia="宋体" w:cs="宋体"/>
          <w:i w:val="0"/>
          <w:kern w:val="0"/>
          <w:sz w:val="24"/>
          <w:szCs w:val="24"/>
          <w:highlight w:val="none"/>
          <w:lang w:val="en-US" w:eastAsia="zh-CN"/>
        </w:rPr>
        <w:t xml:space="preserve">   </w:t>
      </w:r>
      <w:r>
        <w:rPr>
          <w:rFonts w:hint="eastAsia" w:ascii="宋体" w:hAnsi="宋体" w:eastAsia="宋体" w:cs="宋体"/>
          <w:i w:val="0"/>
          <w:kern w:val="0"/>
          <w:sz w:val="24"/>
          <w:szCs w:val="24"/>
          <w:highlight w:val="none"/>
          <w:lang w:eastAsia="zh-CN"/>
        </w:rPr>
        <w:t>（</w:t>
      </w:r>
      <w:r>
        <w:rPr>
          <w:rFonts w:hint="eastAsia" w:ascii="宋体" w:hAnsi="宋体" w:eastAsia="宋体" w:cs="宋体"/>
          <w:i w:val="0"/>
          <w:kern w:val="0"/>
          <w:sz w:val="24"/>
          <w:szCs w:val="24"/>
          <w:highlight w:val="none"/>
          <w:lang w:val="en-US" w:eastAsia="zh-CN"/>
        </w:rPr>
        <w:t>二</w:t>
      </w:r>
      <w:r>
        <w:rPr>
          <w:rFonts w:hint="eastAsia" w:ascii="宋体" w:hAnsi="宋体" w:eastAsia="宋体" w:cs="宋体"/>
          <w:i w:val="0"/>
          <w:kern w:val="0"/>
          <w:sz w:val="24"/>
          <w:szCs w:val="24"/>
          <w:highlight w:val="none"/>
          <w:lang w:eastAsia="zh-CN"/>
        </w:rPr>
        <w:t>）</w:t>
      </w:r>
      <w:r>
        <w:rPr>
          <w:rFonts w:hint="eastAsia" w:ascii="宋体" w:hAnsi="宋体" w:eastAsia="宋体" w:cs="宋体"/>
          <w:i w:val="0"/>
          <w:kern w:val="0"/>
          <w:sz w:val="24"/>
          <w:szCs w:val="24"/>
          <w:highlight w:val="none"/>
        </w:rPr>
        <w:t>乙方承诺其关联方及实际控制人同等受本协议约束</w:t>
      </w:r>
      <w:r>
        <w:rPr>
          <w:rFonts w:hint="eastAsia" w:ascii="宋体" w:hAnsi="宋体" w:eastAsia="宋体" w:cs="宋体"/>
          <w:i w:val="0"/>
          <w:kern w:val="0"/>
          <w:sz w:val="24"/>
          <w:szCs w:val="24"/>
          <w:highlight w:val="none"/>
          <w:lang w:eastAsia="zh-CN"/>
        </w:rPr>
        <w:t>。</w:t>
      </w:r>
    </w:p>
    <w:p w14:paraId="10CE3B7A">
      <w:pPr>
        <w:pStyle w:val="2"/>
        <w:tabs>
          <w:tab w:val="left" w:pos="2191"/>
        </w:tabs>
        <w:autoSpaceDE/>
        <w:autoSpaceDN/>
        <w:spacing w:line="460" w:lineRule="atLeast"/>
        <w:ind w:firstLine="480"/>
        <w:rPr>
          <w:rFonts w:hint="eastAsia" w:ascii="宋体" w:hAnsi="宋体" w:eastAsia="宋体" w:cs="宋体"/>
          <w:b w:val="0"/>
          <w:bCs w:val="0"/>
          <w:i w:val="0"/>
          <w:iCs w:val="0"/>
          <w:kern w:val="0"/>
          <w:sz w:val="24"/>
          <w:szCs w:val="24"/>
          <w:highlight w:val="none"/>
        </w:rPr>
      </w:pPr>
      <w:r>
        <w:rPr>
          <w:rFonts w:hint="eastAsia" w:ascii="宋体" w:hAnsi="宋体" w:eastAsia="宋体" w:cs="宋体"/>
          <w:b w:val="0"/>
          <w:bCs w:val="0"/>
          <w:i w:val="0"/>
          <w:iCs w:val="0"/>
          <w:kern w:val="0"/>
          <w:sz w:val="24"/>
          <w:szCs w:val="24"/>
          <w:highlight w:val="none"/>
        </w:rPr>
        <w:t>第二条  甲方责任</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6B3867B">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（一）不准向乙方和相关单位索要或接收回扣、礼金、有价证券、贵重物品和好处费、感谢费等不正当利益。对推辞不掉的礼金、有价证劵、贵重物品等，应在3日内上交纪检监察部门。</w:t>
      </w:r>
    </w:p>
    <w:p w14:paraId="68E6564B">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（二）不准在乙方和相关单位报销任何应由甲方或其相关个人支付的费用。</w:t>
      </w:r>
    </w:p>
    <w:p w14:paraId="0A37BE38">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（三）不准要求、暗示或接受乙方和相关单位为个人装修住房、婚丧、娶嫁、配偶子女的工作安排以及出国（境）、旅游等提供方便。</w:t>
      </w:r>
    </w:p>
    <w:p w14:paraId="166030C6">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（四）不准参加有可能影响公正执行公务的乙方和相关单位的宴请、健身、娱乐等活动。</w:t>
      </w:r>
    </w:p>
    <w:p w14:paraId="7519C86A">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（五）不准向乙方和相关单位介绍或为配偶、子女、亲属参与甲方与主合同有关的可能影响合同履行公正性的活动。</w:t>
      </w:r>
    </w:p>
    <w:p w14:paraId="29CF295C">
      <w:pPr>
        <w:pStyle w:val="2"/>
        <w:tabs>
          <w:tab w:val="left" w:pos="2191"/>
        </w:tabs>
        <w:autoSpaceDE/>
        <w:autoSpaceDN/>
        <w:spacing w:line="460" w:lineRule="atLeast"/>
        <w:ind w:firstLine="480"/>
        <w:rPr>
          <w:rFonts w:hint="eastAsia" w:ascii="宋体" w:hAnsi="宋体" w:eastAsia="宋体" w:cs="宋体"/>
          <w:b w:val="0"/>
          <w:bCs w:val="0"/>
          <w:i w:val="0"/>
          <w:iCs w:val="0"/>
          <w:kern w:val="0"/>
          <w:sz w:val="24"/>
          <w:szCs w:val="24"/>
          <w:highlight w:val="none"/>
        </w:rPr>
      </w:pPr>
      <w:bookmarkStart w:id="99" w:name="_Toc2816"/>
      <w:bookmarkStart w:id="100" w:name="_Toc3578"/>
      <w:bookmarkStart w:id="101" w:name="_Toc18058"/>
      <w:bookmarkStart w:id="102" w:name="_Toc32084"/>
      <w:bookmarkStart w:id="103" w:name="_Toc21166"/>
      <w:bookmarkStart w:id="104" w:name="_Toc28699"/>
      <w:bookmarkStart w:id="105" w:name="_Toc5761_WPSOffice_Level1"/>
      <w:bookmarkStart w:id="106" w:name="_Toc9025"/>
      <w:bookmarkStart w:id="107" w:name="_Toc4898_WPSOffice_Level1"/>
      <w:bookmarkStart w:id="108" w:name="_Toc6389_WPSOffice_Level1"/>
      <w:bookmarkStart w:id="109" w:name="_Toc2599"/>
      <w:bookmarkStart w:id="110" w:name="_Toc15446"/>
      <w:bookmarkStart w:id="111" w:name="_Toc1547"/>
      <w:bookmarkStart w:id="112" w:name="_Toc17208_WPSOffice_Level1"/>
      <w:bookmarkStart w:id="113" w:name="_Toc14570"/>
      <w:bookmarkStart w:id="114" w:name="_Toc29284"/>
      <w:r>
        <w:rPr>
          <w:rFonts w:hint="eastAsia" w:ascii="宋体" w:hAnsi="宋体" w:eastAsia="宋体" w:cs="宋体"/>
          <w:b w:val="0"/>
          <w:bCs w:val="0"/>
          <w:i w:val="0"/>
          <w:iCs w:val="0"/>
          <w:kern w:val="0"/>
          <w:sz w:val="24"/>
          <w:szCs w:val="24"/>
          <w:highlight w:val="none"/>
        </w:rPr>
        <w:t>第三条  乙方责任</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373782C">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乙方应与甲方保持正常的业务交往，按照有关法律法规和程序开展业务工作，严格执行有关方针、政策，认真履行合同职责，并遵守以下规定：</w:t>
      </w:r>
    </w:p>
    <w:p w14:paraId="3DA5C5C3">
      <w:pPr>
        <w:pStyle w:val="2"/>
        <w:tabs>
          <w:tab w:val="left" w:pos="2191"/>
        </w:tabs>
        <w:autoSpaceDE/>
        <w:autoSpaceDN/>
        <w:spacing w:line="460" w:lineRule="atLeast"/>
        <w:ind w:firstLine="480"/>
        <w:rPr>
          <w:rFonts w:hint="eastAsia" w:ascii="宋体" w:hAnsi="宋体" w:eastAsia="宋体" w:cs="宋体"/>
          <w:i w:val="0"/>
          <w:iCs w:val="0"/>
          <w:kern w:val="0"/>
          <w:sz w:val="24"/>
          <w:szCs w:val="24"/>
          <w:highlight w:val="none"/>
          <w:lang w:eastAsia="zh-CN"/>
        </w:rPr>
      </w:pPr>
      <w:r>
        <w:rPr>
          <w:rFonts w:hint="eastAsia" w:ascii="宋体" w:hAnsi="宋体" w:eastAsia="宋体" w:cs="宋体"/>
          <w:i w:val="0"/>
          <w:kern w:val="0"/>
          <w:sz w:val="24"/>
          <w:szCs w:val="24"/>
          <w:highlight w:val="none"/>
        </w:rPr>
        <w:t>（一）不准以任何理由向甲方及其工作人员索要、接受或赠送礼金、有价证券、贵重物品及回扣、好处费、感谢</w:t>
      </w:r>
      <w:r>
        <w:rPr>
          <w:rFonts w:hint="eastAsia" w:ascii="宋体" w:hAnsi="宋体" w:eastAsia="宋体" w:cs="宋体"/>
          <w:i w:val="0"/>
          <w:iCs w:val="0"/>
          <w:kern w:val="0"/>
          <w:sz w:val="24"/>
          <w:szCs w:val="24"/>
          <w:highlight w:val="none"/>
        </w:rPr>
        <w:t>费等不正当利益</w:t>
      </w:r>
      <w:r>
        <w:rPr>
          <w:rFonts w:hint="eastAsia" w:ascii="宋体" w:hAnsi="宋体" w:eastAsia="宋体" w:cs="宋体"/>
          <w:i w:val="0"/>
          <w:iCs w:val="0"/>
          <w:kern w:val="0"/>
          <w:sz w:val="24"/>
          <w:szCs w:val="24"/>
          <w:highlight w:val="none"/>
          <w:lang w:eastAsia="zh-CN"/>
        </w:rPr>
        <w:t>；</w:t>
      </w:r>
      <w:r>
        <w:rPr>
          <w:rFonts w:hint="eastAsia" w:ascii="宋体" w:hAnsi="宋体" w:eastAsia="宋体" w:cs="宋体"/>
          <w:i w:val="0"/>
          <w:iCs w:val="0"/>
          <w:caps w:val="0"/>
          <w:color w:val="000000"/>
          <w:spacing w:val="0"/>
          <w:kern w:val="0"/>
          <w:sz w:val="24"/>
          <w:szCs w:val="24"/>
          <w:highlight w:val="none"/>
          <w:shd w:val="clear"/>
          <w:lang w:val="en-US" w:eastAsia="zh-CN"/>
        </w:rPr>
        <w:t>不得</w:t>
      </w:r>
      <w:r>
        <w:rPr>
          <w:rFonts w:hint="eastAsia" w:ascii="宋体" w:hAnsi="宋体" w:eastAsia="宋体" w:cs="宋体"/>
          <w:i w:val="0"/>
          <w:iCs w:val="0"/>
          <w:caps w:val="0"/>
          <w:color w:val="000000"/>
          <w:spacing w:val="0"/>
          <w:kern w:val="0"/>
          <w:sz w:val="24"/>
          <w:szCs w:val="24"/>
          <w:highlight w:val="none"/>
          <w:shd w:val="clear"/>
        </w:rPr>
        <w:t>以科研经费、咨询费、服务费等名义变相支付不当利益</w:t>
      </w:r>
      <w:r>
        <w:rPr>
          <w:rFonts w:hint="eastAsia" w:ascii="宋体" w:hAnsi="宋体" w:eastAsia="宋体" w:cs="宋体"/>
          <w:i w:val="0"/>
          <w:iCs w:val="0"/>
          <w:caps w:val="0"/>
          <w:color w:val="000000"/>
          <w:spacing w:val="0"/>
          <w:kern w:val="0"/>
          <w:sz w:val="24"/>
          <w:szCs w:val="24"/>
          <w:highlight w:val="none"/>
          <w:shd w:val="clear"/>
          <w:lang w:eastAsia="zh-CN"/>
        </w:rPr>
        <w:t>。</w:t>
      </w:r>
    </w:p>
    <w:p w14:paraId="4032E793">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（二）不准以任何理由为甲方和相关单位报销应由对方或相关人支付的费用。</w:t>
      </w:r>
    </w:p>
    <w:p w14:paraId="44A91B22">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（三）不准接受或暗示为甲方、相关单位为个人装修住房、婚丧、娶嫁、配偶子女的工作安排以及出国（境）、旅游等提供方便。</w:t>
      </w:r>
    </w:p>
    <w:p w14:paraId="27053EEB">
      <w:pPr>
        <w:pStyle w:val="2"/>
        <w:tabs>
          <w:tab w:val="left" w:pos="2191"/>
        </w:tabs>
        <w:autoSpaceDE/>
        <w:autoSpaceDN/>
        <w:spacing w:line="460" w:lineRule="atLeast"/>
        <w:ind w:firstLine="480"/>
        <w:rPr>
          <w:rFonts w:hint="eastAsia" w:ascii="宋体" w:hAnsi="宋体" w:eastAsia="宋体" w:cs="宋体"/>
          <w:i w:val="0"/>
          <w:iCs w:val="0"/>
          <w:kern w:val="0"/>
          <w:sz w:val="24"/>
          <w:szCs w:val="24"/>
          <w:highlight w:val="none"/>
        </w:rPr>
      </w:pPr>
      <w:r>
        <w:rPr>
          <w:rFonts w:hint="eastAsia" w:ascii="宋体" w:hAnsi="宋体" w:eastAsia="宋体" w:cs="宋体"/>
          <w:i w:val="0"/>
          <w:kern w:val="0"/>
          <w:sz w:val="24"/>
          <w:szCs w:val="24"/>
          <w:highlight w:val="none"/>
        </w:rPr>
        <w:t>（四）不准以任何理由为甲方、相关单位或个人组织有可能影响公正执</w:t>
      </w:r>
      <w:r>
        <w:rPr>
          <w:rFonts w:hint="eastAsia" w:ascii="宋体" w:hAnsi="宋体" w:eastAsia="宋体" w:cs="宋体"/>
          <w:i w:val="0"/>
          <w:iCs w:val="0"/>
          <w:kern w:val="0"/>
          <w:sz w:val="24"/>
          <w:szCs w:val="24"/>
          <w:highlight w:val="none"/>
        </w:rPr>
        <w:t>行公务的宴请、健身、娱乐等活动。</w:t>
      </w:r>
    </w:p>
    <w:p w14:paraId="1699E545">
      <w:pPr>
        <w:pStyle w:val="2"/>
        <w:tabs>
          <w:tab w:val="left" w:pos="2191"/>
        </w:tabs>
        <w:autoSpaceDE/>
        <w:autoSpaceDN/>
        <w:spacing w:line="460" w:lineRule="atLeast"/>
        <w:ind w:firstLine="480"/>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caps w:val="0"/>
          <w:color w:val="000000"/>
          <w:spacing w:val="0"/>
          <w:sz w:val="24"/>
          <w:szCs w:val="24"/>
          <w:highlight w:val="none"/>
          <w:u w:val="none"/>
          <w:shd w:val="clear"/>
        </w:rPr>
        <w:t>（</w:t>
      </w:r>
      <w:r>
        <w:rPr>
          <w:rFonts w:hint="eastAsia" w:ascii="宋体" w:hAnsi="宋体" w:eastAsia="宋体" w:cs="宋体"/>
          <w:i w:val="0"/>
          <w:iCs w:val="0"/>
          <w:caps w:val="0"/>
          <w:color w:val="000000"/>
          <w:spacing w:val="0"/>
          <w:sz w:val="24"/>
          <w:szCs w:val="24"/>
          <w:highlight w:val="none"/>
          <w:u w:val="none"/>
          <w:shd w:val="clear"/>
          <w:lang w:val="en-US" w:eastAsia="zh-CN"/>
        </w:rPr>
        <w:t>五</w:t>
      </w:r>
      <w:r>
        <w:rPr>
          <w:rFonts w:hint="eastAsia" w:ascii="宋体" w:hAnsi="宋体" w:eastAsia="宋体" w:cs="宋体"/>
          <w:i w:val="0"/>
          <w:iCs w:val="0"/>
          <w:caps w:val="0"/>
          <w:color w:val="000000"/>
          <w:spacing w:val="0"/>
          <w:sz w:val="24"/>
          <w:szCs w:val="24"/>
          <w:highlight w:val="none"/>
          <w:u w:val="none"/>
          <w:shd w:val="clear"/>
        </w:rPr>
        <w:t>）发现甲方人员主动索贿的，应在24小时内通过指定渠道向甲方</w:t>
      </w:r>
      <w:r>
        <w:rPr>
          <w:rFonts w:hint="eastAsia" w:ascii="宋体" w:hAnsi="宋体" w:eastAsia="宋体" w:cs="宋体"/>
          <w:i w:val="0"/>
          <w:iCs w:val="0"/>
          <w:caps w:val="0"/>
          <w:color w:val="000000"/>
          <w:spacing w:val="0"/>
          <w:sz w:val="24"/>
          <w:szCs w:val="24"/>
          <w:highlight w:val="none"/>
          <w:u w:val="none"/>
          <w:shd w:val="clear"/>
          <w:lang w:val="en-US" w:eastAsia="zh-CN"/>
        </w:rPr>
        <w:t>纪检监督</w:t>
      </w:r>
      <w:r>
        <w:rPr>
          <w:rFonts w:hint="eastAsia" w:ascii="宋体" w:hAnsi="宋体" w:eastAsia="宋体" w:cs="宋体"/>
          <w:i w:val="0"/>
          <w:iCs w:val="0"/>
          <w:caps w:val="0"/>
          <w:color w:val="000000"/>
          <w:spacing w:val="0"/>
          <w:sz w:val="24"/>
          <w:szCs w:val="24"/>
          <w:highlight w:val="none"/>
          <w:u w:val="none"/>
          <w:shd w:val="clear"/>
        </w:rPr>
        <w:t>部门实名报告</w:t>
      </w:r>
      <w:r>
        <w:rPr>
          <w:rFonts w:hint="eastAsia" w:ascii="宋体" w:hAnsi="宋体" w:eastAsia="宋体" w:cs="宋体"/>
          <w:i w:val="0"/>
          <w:iCs w:val="0"/>
          <w:caps w:val="0"/>
          <w:color w:val="000000"/>
          <w:spacing w:val="0"/>
          <w:sz w:val="24"/>
          <w:szCs w:val="24"/>
          <w:highlight w:val="none"/>
          <w:u w:val="none"/>
          <w:shd w:val="clear"/>
          <w:lang w:eastAsia="zh-CN"/>
        </w:rPr>
        <w:t>。</w:t>
      </w:r>
    </w:p>
    <w:p w14:paraId="3472DF93">
      <w:pPr>
        <w:pStyle w:val="2"/>
        <w:tabs>
          <w:tab w:val="left" w:pos="2191"/>
        </w:tabs>
        <w:autoSpaceDE/>
        <w:autoSpaceDN/>
        <w:spacing w:line="460" w:lineRule="atLeast"/>
        <w:ind w:firstLine="480"/>
        <w:rPr>
          <w:rFonts w:hint="eastAsia" w:ascii="宋体" w:hAnsi="宋体" w:eastAsia="宋体" w:cs="宋体"/>
          <w:b w:val="0"/>
          <w:bCs w:val="0"/>
          <w:i w:val="0"/>
          <w:iCs w:val="0"/>
          <w:kern w:val="0"/>
          <w:sz w:val="24"/>
          <w:szCs w:val="24"/>
          <w:highlight w:val="none"/>
        </w:rPr>
      </w:pPr>
      <w:bookmarkStart w:id="115" w:name="_Toc6177"/>
      <w:bookmarkStart w:id="116" w:name="_Toc28319"/>
      <w:bookmarkStart w:id="117" w:name="_Toc15272"/>
      <w:bookmarkStart w:id="118" w:name="_Toc16292"/>
      <w:bookmarkStart w:id="119" w:name="_Toc13057_WPSOffice_Level1"/>
      <w:bookmarkStart w:id="120" w:name="_Toc11501"/>
      <w:bookmarkStart w:id="121" w:name="_Toc9225"/>
      <w:bookmarkStart w:id="122" w:name="_Toc31035"/>
      <w:bookmarkStart w:id="123" w:name="_Toc621_WPSOffice_Level1"/>
      <w:bookmarkStart w:id="124" w:name="_Toc22426"/>
      <w:bookmarkStart w:id="125" w:name="_Toc3842"/>
      <w:bookmarkStart w:id="126" w:name="_Toc19856"/>
      <w:bookmarkStart w:id="127" w:name="_Toc26039"/>
      <w:bookmarkStart w:id="128" w:name="_Toc19452"/>
      <w:bookmarkStart w:id="129" w:name="_Toc1100_WPSOffice_Level1"/>
      <w:bookmarkStart w:id="130" w:name="_Toc23696_WPSOffice_Level1"/>
      <w:r>
        <w:rPr>
          <w:rFonts w:hint="eastAsia" w:ascii="宋体" w:hAnsi="宋体" w:eastAsia="宋体" w:cs="宋体"/>
          <w:b w:val="0"/>
          <w:bCs w:val="0"/>
          <w:i w:val="0"/>
          <w:iCs w:val="0"/>
          <w:kern w:val="0"/>
          <w:sz w:val="24"/>
          <w:szCs w:val="24"/>
          <w:highlight w:val="none"/>
        </w:rPr>
        <w:t>第四条  违约责任</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1CC8C36">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（一）甲方如发生违反本协议行为，按照管理权限，视情节并依据有关法律法规和规定交由有关部门给予党纪、政纪处分或组织处理；涉嫌犯罪的，移交司法机关追究刑事责任。</w:t>
      </w:r>
    </w:p>
    <w:p w14:paraId="16AE1065">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（二）乙方如发生违反本协议行为</w:t>
      </w:r>
      <w:r>
        <w:rPr>
          <w:rFonts w:hint="eastAsia" w:ascii="宋体" w:hAnsi="宋体" w:eastAsia="宋体" w:cs="宋体"/>
          <w:i w:val="0"/>
          <w:kern w:val="0"/>
          <w:sz w:val="24"/>
          <w:szCs w:val="24"/>
          <w:highlight w:val="none"/>
          <w:lang w:val="en-US" w:eastAsia="zh-CN"/>
        </w:rPr>
        <w:t>,</w:t>
      </w:r>
      <w:r>
        <w:rPr>
          <w:rFonts w:hint="eastAsia" w:ascii="宋体" w:hAnsi="宋体" w:eastAsia="宋体" w:cs="宋体"/>
          <w:i w:val="0"/>
          <w:kern w:val="0"/>
          <w:sz w:val="24"/>
          <w:szCs w:val="24"/>
          <w:highlight w:val="none"/>
        </w:rPr>
        <w:t>涉嫌犯罪的，移交司法机关追究刑事责任；给甲方单位造成经济损失的，</w:t>
      </w:r>
      <w:r>
        <w:rPr>
          <w:rFonts w:hint="eastAsia" w:ascii="宋体" w:hAnsi="宋体" w:eastAsia="宋体" w:cs="宋体"/>
          <w:i w:val="0"/>
          <w:kern w:val="0"/>
          <w:sz w:val="24"/>
          <w:szCs w:val="24"/>
          <w:highlight w:val="none"/>
          <w:lang w:val="en-US" w:eastAsia="zh-CN"/>
        </w:rPr>
        <w:t>乙方</w:t>
      </w:r>
      <w:r>
        <w:rPr>
          <w:rFonts w:hint="eastAsia" w:ascii="宋体" w:hAnsi="宋体" w:eastAsia="宋体" w:cs="宋体"/>
          <w:i w:val="0"/>
          <w:kern w:val="0"/>
          <w:sz w:val="24"/>
          <w:szCs w:val="24"/>
          <w:highlight w:val="none"/>
        </w:rPr>
        <w:t>应予以赔偿</w:t>
      </w:r>
      <w:r>
        <w:rPr>
          <w:rFonts w:hint="eastAsia" w:ascii="宋体" w:hAnsi="宋体" w:eastAsia="宋体" w:cs="宋体"/>
          <w:i w:val="0"/>
          <w:kern w:val="0"/>
          <w:sz w:val="24"/>
          <w:szCs w:val="24"/>
          <w:highlight w:val="none"/>
          <w:lang w:val="en-US" w:eastAsia="zh-CN"/>
        </w:rPr>
        <w:t>并按主合同总金额20%向甲方支付违约金，同时甲方有权解除主合同且不承担违约责任。</w:t>
      </w:r>
    </w:p>
    <w:p w14:paraId="15B52DC9">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bookmarkStart w:id="131" w:name="_Toc19165"/>
      <w:bookmarkStart w:id="132" w:name="_Toc8682"/>
      <w:bookmarkStart w:id="133" w:name="_Toc591_WPSOffice_Level1"/>
      <w:bookmarkStart w:id="134" w:name="_Toc28912"/>
      <w:bookmarkStart w:id="135" w:name="_Toc31663"/>
      <w:bookmarkStart w:id="136" w:name="_Toc31539"/>
      <w:bookmarkStart w:id="137" w:name="_Toc10852_WPSOffice_Level1"/>
      <w:bookmarkStart w:id="138" w:name="_Toc18725"/>
      <w:bookmarkStart w:id="139" w:name="_Toc10574"/>
      <w:bookmarkStart w:id="140" w:name="_Toc24225_WPSOffice_Level1"/>
      <w:bookmarkStart w:id="141" w:name="_Toc16190_WPSOffice_Level1"/>
      <w:bookmarkStart w:id="142" w:name="_Toc3693"/>
      <w:bookmarkStart w:id="143" w:name="_Toc21805"/>
      <w:bookmarkStart w:id="144" w:name="_Toc4493"/>
      <w:bookmarkStart w:id="145" w:name="_Toc9065"/>
      <w:bookmarkStart w:id="146" w:name="_Toc16639"/>
      <w:r>
        <w:rPr>
          <w:rFonts w:hint="eastAsia" w:ascii="宋体" w:hAnsi="宋体" w:eastAsia="宋体" w:cs="宋体"/>
          <w:b w:val="0"/>
          <w:bCs w:val="0"/>
          <w:i w:val="0"/>
          <w:iCs w:val="0"/>
          <w:kern w:val="0"/>
          <w:sz w:val="24"/>
          <w:szCs w:val="24"/>
          <w:highlight w:val="none"/>
        </w:rPr>
        <w:t xml:space="preserve">第五条  </w:t>
      </w:r>
      <w:r>
        <w:rPr>
          <w:rFonts w:hint="eastAsia" w:ascii="宋体" w:hAnsi="宋体" w:eastAsia="宋体" w:cs="宋体"/>
          <w:b w:val="0"/>
          <w:bCs w:val="0"/>
          <w:i w:val="0"/>
          <w:iCs w:val="0"/>
          <w:kern w:val="0"/>
          <w:sz w:val="24"/>
          <w:szCs w:val="24"/>
          <w:highlight w:val="none"/>
          <w:lang w:val="en-US" w:eastAsia="zh-CN"/>
        </w:rPr>
        <w:t>其他</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D949C58">
      <w:pPr>
        <w:pStyle w:val="2"/>
        <w:tabs>
          <w:tab w:val="left" w:pos="2191"/>
        </w:tabs>
        <w:autoSpaceDE/>
        <w:autoSpaceDN/>
        <w:spacing w:line="460" w:lineRule="atLeast"/>
        <w:ind w:firstLine="480"/>
        <w:rPr>
          <w:rFonts w:hint="eastAsia" w:ascii="宋体" w:hAnsi="宋体" w:eastAsia="宋体" w:cs="宋体"/>
          <w:i w:val="0"/>
          <w:kern w:val="0"/>
          <w:sz w:val="24"/>
          <w:szCs w:val="24"/>
          <w:highlight w:val="none"/>
        </w:rPr>
      </w:pPr>
      <w:r>
        <w:rPr>
          <w:rFonts w:hint="eastAsia" w:ascii="宋体" w:hAnsi="宋体" w:eastAsia="宋体" w:cs="宋体"/>
          <w:i w:val="0"/>
          <w:kern w:val="0"/>
          <w:sz w:val="24"/>
          <w:szCs w:val="24"/>
          <w:highlight w:val="none"/>
        </w:rPr>
        <w:t>本协议由双方共同签署，作为主合同附件,与主合同具有同等法律效力，其有效期至主合同履行完结。</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4" w:space="0"/>
          <w:insideV w:val="single" w:color="auto" w:sz="4" w:space="0"/>
        </w:tblBorders>
        <w:tblLayout w:type="fixed"/>
        <w:tblCellMar>
          <w:top w:w="0" w:type="dxa"/>
          <w:left w:w="108" w:type="dxa"/>
          <w:bottom w:w="0" w:type="dxa"/>
          <w:right w:w="108" w:type="dxa"/>
        </w:tblCellMar>
      </w:tblPr>
      <w:tblGrid>
        <w:gridCol w:w="4559"/>
        <w:gridCol w:w="4559"/>
      </w:tblGrid>
      <w:tr w14:paraId="76563628">
        <w:tblPrEx>
          <w:tblBorders>
            <w:top w:val="single" w:color="auto" w:sz="4" w:space="0"/>
            <w:left w:val="single" w:color="auto" w:sz="4" w:space="0"/>
            <w:bottom w:val="single" w:color="auto" w:sz="4" w:space="0"/>
            <w:right w:val="single" w:color="auto" w:sz="4" w:space="0"/>
            <w:insideH w:val="none" w:color="auto" w:sz="4" w:space="0"/>
            <w:insideV w:val="single" w:color="auto" w:sz="4" w:space="0"/>
          </w:tblBorders>
          <w:tblCellMar>
            <w:top w:w="0" w:type="dxa"/>
            <w:left w:w="108" w:type="dxa"/>
            <w:bottom w:w="0" w:type="dxa"/>
            <w:right w:w="108" w:type="dxa"/>
          </w:tblCellMar>
        </w:tblPrEx>
        <w:tc>
          <w:tcPr>
            <w:tcW w:w="4559" w:type="dxa"/>
            <w:tcBorders>
              <w:top w:val="single" w:color="auto" w:sz="4" w:space="0"/>
              <w:left w:val="single" w:color="auto" w:sz="4" w:space="0"/>
              <w:bottom w:val="single" w:color="auto" w:sz="4" w:space="0"/>
              <w:right w:val="single" w:color="auto" w:sz="4" w:space="0"/>
            </w:tcBorders>
            <w:noWrap w:val="0"/>
            <w:vAlign w:val="center"/>
          </w:tcPr>
          <w:p w14:paraId="6F33219A">
            <w:pPr>
              <w:pStyle w:val="2"/>
              <w:tabs>
                <w:tab w:val="left" w:pos="2191"/>
              </w:tabs>
              <w:autoSpaceDE/>
              <w:autoSpaceDN/>
              <w:spacing w:line="460" w:lineRule="atLeast"/>
              <w:ind w:firstLine="0" w:firstLineChars="0"/>
              <w:rPr>
                <w:rFonts w:hint="eastAsia" w:ascii="宋体" w:hAnsi="宋体" w:eastAsia="宋体" w:cs="宋体"/>
                <w:b w:val="0"/>
                <w:sz w:val="24"/>
                <w:szCs w:val="24"/>
                <w:highlight w:val="none"/>
                <w:lang w:eastAsia="zh-CN"/>
              </w:rPr>
            </w:pPr>
            <w:r>
              <w:rPr>
                <w:rFonts w:hint="eastAsia" w:ascii="宋体" w:hAnsi="宋体" w:eastAsia="宋体" w:cs="宋体"/>
                <w:b w:val="0"/>
                <w:sz w:val="24"/>
                <w:szCs w:val="24"/>
                <w:highlight w:val="none"/>
                <w:lang w:bidi="ar"/>
              </w:rPr>
              <w:t>甲方</w:t>
            </w:r>
          </w:p>
        </w:tc>
        <w:tc>
          <w:tcPr>
            <w:tcW w:w="4559" w:type="dxa"/>
            <w:tcBorders>
              <w:top w:val="single" w:color="auto" w:sz="4" w:space="0"/>
              <w:left w:val="single" w:color="auto" w:sz="4" w:space="0"/>
              <w:bottom w:val="single" w:color="auto" w:sz="4" w:space="0"/>
              <w:right w:val="single" w:color="auto" w:sz="4" w:space="0"/>
            </w:tcBorders>
            <w:noWrap w:val="0"/>
            <w:vAlign w:val="center"/>
          </w:tcPr>
          <w:p w14:paraId="7221C18B">
            <w:pPr>
              <w:pStyle w:val="2"/>
              <w:tabs>
                <w:tab w:val="left" w:pos="2191"/>
              </w:tabs>
              <w:autoSpaceDE/>
              <w:autoSpaceDN/>
              <w:spacing w:line="460" w:lineRule="atLeast"/>
              <w:ind w:firstLine="0" w:firstLineChars="0"/>
              <w:rPr>
                <w:rFonts w:hint="eastAsia" w:ascii="宋体" w:hAnsi="宋体" w:eastAsia="宋体" w:cs="宋体"/>
                <w:b w:val="0"/>
                <w:sz w:val="24"/>
                <w:szCs w:val="24"/>
                <w:highlight w:val="none"/>
                <w:lang w:eastAsia="zh-CN"/>
              </w:rPr>
            </w:pPr>
            <w:r>
              <w:rPr>
                <w:rFonts w:hint="eastAsia" w:ascii="宋体" w:hAnsi="宋体" w:eastAsia="宋体" w:cs="宋体"/>
                <w:b w:val="0"/>
                <w:sz w:val="24"/>
                <w:szCs w:val="24"/>
                <w:highlight w:val="none"/>
                <w:lang w:bidi="ar"/>
              </w:rPr>
              <w:t>乙方</w:t>
            </w:r>
          </w:p>
        </w:tc>
      </w:tr>
      <w:tr w14:paraId="4FDF7AE7">
        <w:tblPrEx>
          <w:tblBorders>
            <w:top w:val="single" w:color="auto" w:sz="4" w:space="0"/>
            <w:left w:val="single" w:color="auto" w:sz="4" w:space="0"/>
            <w:bottom w:val="single" w:color="auto" w:sz="4" w:space="0"/>
            <w:right w:val="single" w:color="auto" w:sz="4" w:space="0"/>
            <w:insideH w:val="none" w:color="auto" w:sz="4" w:space="0"/>
            <w:insideV w:val="single" w:color="auto" w:sz="4" w:space="0"/>
          </w:tblBorders>
          <w:tblCellMar>
            <w:top w:w="0" w:type="dxa"/>
            <w:left w:w="108" w:type="dxa"/>
            <w:bottom w:w="0" w:type="dxa"/>
            <w:right w:w="108" w:type="dxa"/>
          </w:tblCellMar>
        </w:tblPrEx>
        <w:trPr>
          <w:trHeight w:val="2139" w:hRule="atLeast"/>
        </w:trPr>
        <w:tc>
          <w:tcPr>
            <w:tcW w:w="4559" w:type="dxa"/>
            <w:tcBorders>
              <w:top w:val="single" w:color="auto" w:sz="4" w:space="0"/>
              <w:left w:val="single" w:color="auto" w:sz="4" w:space="0"/>
              <w:bottom w:val="single" w:color="auto" w:sz="4" w:space="0"/>
              <w:right w:val="single" w:color="auto" w:sz="4" w:space="0"/>
            </w:tcBorders>
            <w:noWrap w:val="0"/>
            <w:vAlign w:val="top"/>
          </w:tcPr>
          <w:p w14:paraId="228D486B">
            <w:pPr>
              <w:pStyle w:val="2"/>
              <w:tabs>
                <w:tab w:val="left" w:pos="2191"/>
              </w:tabs>
              <w:autoSpaceDE/>
              <w:autoSpaceDN/>
              <w:spacing w:line="460" w:lineRule="atLeast"/>
              <w:ind w:firstLine="0"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单位名称（盖章）: </w:t>
            </w:r>
          </w:p>
          <w:p w14:paraId="43EAC336">
            <w:pPr>
              <w:pStyle w:val="2"/>
              <w:tabs>
                <w:tab w:val="left" w:pos="2191"/>
              </w:tabs>
              <w:autoSpaceDE/>
              <w:autoSpaceDN/>
              <w:spacing w:line="460" w:lineRule="atLeas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惠州大亚湾环境水务集团有限公司 　  　　</w:t>
            </w:r>
          </w:p>
          <w:p w14:paraId="0170BAF6">
            <w:pPr>
              <w:pStyle w:val="2"/>
              <w:tabs>
                <w:tab w:val="left" w:pos="2191"/>
              </w:tabs>
              <w:autoSpaceDE/>
              <w:autoSpaceDN/>
              <w:spacing w:line="460" w:lineRule="atLeast"/>
              <w:ind w:firstLine="480" w:firstLineChars="200"/>
              <w:rPr>
                <w:rFonts w:hint="eastAsia" w:ascii="宋体" w:hAnsi="宋体" w:eastAsia="宋体" w:cs="宋体"/>
                <w:sz w:val="24"/>
                <w:szCs w:val="24"/>
                <w:highlight w:val="none"/>
              </w:rPr>
            </w:pPr>
          </w:p>
        </w:tc>
        <w:tc>
          <w:tcPr>
            <w:tcW w:w="4559" w:type="dxa"/>
            <w:tcBorders>
              <w:top w:val="single" w:color="auto" w:sz="4" w:space="0"/>
              <w:left w:val="single" w:color="auto" w:sz="4" w:space="0"/>
              <w:bottom w:val="single" w:color="auto" w:sz="4" w:space="0"/>
              <w:right w:val="single" w:color="auto" w:sz="4" w:space="0"/>
            </w:tcBorders>
            <w:noWrap w:val="0"/>
            <w:vAlign w:val="top"/>
          </w:tcPr>
          <w:p w14:paraId="0AD74FEB">
            <w:pPr>
              <w:pStyle w:val="2"/>
              <w:tabs>
                <w:tab w:val="left" w:pos="2191"/>
              </w:tabs>
              <w:autoSpaceDE/>
              <w:autoSpaceDN/>
              <w:spacing w:line="460" w:lineRule="atLeast"/>
              <w:ind w:firstLine="0"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单位名称（盖章）: </w:t>
            </w:r>
          </w:p>
          <w:p w14:paraId="795F16F1">
            <w:pPr>
              <w:pStyle w:val="2"/>
              <w:tabs>
                <w:tab w:val="left" w:pos="2191"/>
              </w:tabs>
              <w:autoSpaceDE/>
              <w:autoSpaceDN/>
              <w:spacing w:line="460" w:lineRule="atLeast"/>
              <w:ind w:firstLine="480" w:firstLineChars="200"/>
              <w:rPr>
                <w:rFonts w:hint="eastAsia" w:ascii="宋体" w:hAnsi="宋体" w:eastAsia="宋体" w:cs="宋体"/>
                <w:sz w:val="24"/>
                <w:szCs w:val="24"/>
                <w:highlight w:val="none"/>
              </w:rPr>
            </w:pPr>
          </w:p>
        </w:tc>
      </w:tr>
      <w:bookmarkEnd w:id="64"/>
      <w:bookmarkEnd w:id="65"/>
      <w:bookmarkEnd w:id="66"/>
    </w:tbl>
    <w:p w14:paraId="4EC78505">
      <w:pPr>
        <w:spacing w:line="360" w:lineRule="auto"/>
        <w:ind w:firstLine="420" w:firstLineChars="200"/>
        <w:rPr>
          <w:rFonts w:ascii="宋体" w:hAnsi="宋体" w:cs="宋体"/>
          <w:highlight w:val="none"/>
        </w:rPr>
      </w:pPr>
    </w:p>
    <w:p w14:paraId="7EBE88DD">
      <w:pPr>
        <w:spacing w:line="360" w:lineRule="auto"/>
        <w:ind w:firstLine="420" w:firstLineChars="200"/>
        <w:jc w:val="both"/>
        <w:rPr>
          <w:rFonts w:hint="eastAsia" w:ascii="宋体" w:hAnsi="宋体" w:cs="宋体"/>
          <w:highlight w:val="none"/>
        </w:rPr>
        <w:sectPr>
          <w:footerReference r:id="rId5" w:type="default"/>
          <w:pgSz w:w="11900" w:h="16840"/>
          <w:pgMar w:top="1440" w:right="1080" w:bottom="1440" w:left="1080" w:header="0" w:footer="470" w:gutter="0"/>
          <w:pgNumType w:start="1"/>
          <w:cols w:space="720" w:num="1"/>
        </w:sectPr>
      </w:pPr>
      <w:r>
        <w:rPr>
          <w:rFonts w:hint="eastAsia" w:ascii="宋体" w:hAnsi="宋体" w:cs="宋体"/>
          <w:highlight w:val="none"/>
        </w:rPr>
        <w:t xml:space="preserve">  </w:t>
      </w:r>
    </w:p>
    <w:p w14:paraId="1AD9098C">
      <w:pPr>
        <w:jc w:val="left"/>
        <w:outlineLvl w:val="0"/>
        <w:rPr>
          <w:rFonts w:hint="eastAsia"/>
          <w:b/>
          <w:bCs/>
          <w:i w:val="0"/>
          <w:iCs/>
          <w:sz w:val="24"/>
          <w:highlight w:val="none"/>
        </w:rPr>
      </w:pPr>
      <w:bookmarkStart w:id="147" w:name="_Toc3229"/>
      <w:bookmarkStart w:id="148" w:name="_Toc13884"/>
      <w:bookmarkStart w:id="149" w:name="_Toc30134"/>
      <w:r>
        <w:rPr>
          <w:rFonts w:hint="eastAsia"/>
          <w:b/>
          <w:bCs/>
          <w:i w:val="0"/>
          <w:iCs/>
          <w:sz w:val="24"/>
          <w:highlight w:val="none"/>
        </w:rPr>
        <w:t>附件</w:t>
      </w:r>
      <w:r>
        <w:rPr>
          <w:rFonts w:hint="eastAsia" w:eastAsia="宋体"/>
          <w:b/>
          <w:bCs/>
          <w:i w:val="0"/>
          <w:iCs/>
          <w:sz w:val="24"/>
          <w:highlight w:val="none"/>
          <w:lang w:val="en-US" w:eastAsia="zh-CN"/>
        </w:rPr>
        <w:t>3</w:t>
      </w:r>
      <w:r>
        <w:rPr>
          <w:rFonts w:hint="eastAsia"/>
          <w:b/>
          <w:bCs/>
          <w:i w:val="0"/>
          <w:iCs/>
          <w:sz w:val="24"/>
          <w:highlight w:val="none"/>
        </w:rPr>
        <w:t>：《</w:t>
      </w:r>
      <w:r>
        <w:rPr>
          <w:rFonts w:hint="eastAsia" w:eastAsia="宋体"/>
          <w:b/>
          <w:bCs/>
          <w:i w:val="0"/>
          <w:iCs/>
          <w:sz w:val="24"/>
          <w:highlight w:val="none"/>
          <w:lang w:val="en-US" w:eastAsia="zh-CN"/>
        </w:rPr>
        <w:t>合规</w:t>
      </w:r>
      <w:r>
        <w:rPr>
          <w:rFonts w:hint="eastAsia"/>
          <w:b/>
          <w:bCs/>
          <w:i w:val="0"/>
          <w:iCs/>
          <w:sz w:val="24"/>
          <w:highlight w:val="none"/>
        </w:rPr>
        <w:t>协议》</w:t>
      </w:r>
      <w:bookmarkEnd w:id="147"/>
      <w:bookmarkEnd w:id="148"/>
      <w:bookmarkEnd w:id="149"/>
    </w:p>
    <w:p w14:paraId="2D379875">
      <w:pPr>
        <w:jc w:val="center"/>
        <w:outlineLvl w:val="9"/>
        <w:rPr>
          <w:sz w:val="44"/>
          <w:szCs w:val="44"/>
          <w:highlight w:val="none"/>
        </w:rPr>
      </w:pPr>
      <w:r>
        <w:rPr>
          <w:rFonts w:hint="eastAsia" w:eastAsia="宋体"/>
          <w:sz w:val="44"/>
          <w:szCs w:val="44"/>
          <w:highlight w:val="none"/>
          <w:lang w:val="en-US" w:eastAsia="zh-CN"/>
        </w:rPr>
        <w:t>合规</w:t>
      </w:r>
      <w:r>
        <w:rPr>
          <w:rFonts w:hint="eastAsia"/>
          <w:sz w:val="44"/>
          <w:szCs w:val="44"/>
          <w:highlight w:val="none"/>
        </w:rPr>
        <w:t>协议</w:t>
      </w:r>
    </w:p>
    <w:p w14:paraId="1BFAAD7E">
      <w:pPr>
        <w:pStyle w:val="39"/>
        <w:spacing w:beforeLines="0" w:afterLines="0" w:line="500" w:lineRule="exact"/>
        <w:ind w:firstLine="480" w:firstLineChars="200"/>
        <w:jc w:val="both"/>
        <w:rPr>
          <w:rFonts w:hint="eastAsia"/>
          <w:i w:val="0"/>
          <w:iCs/>
          <w:sz w:val="24"/>
          <w:highlight w:val="none"/>
        </w:rPr>
      </w:pPr>
    </w:p>
    <w:p w14:paraId="5DF30BF7">
      <w:pPr>
        <w:pStyle w:val="2"/>
        <w:tabs>
          <w:tab w:val="left" w:pos="2191"/>
        </w:tabs>
        <w:spacing w:line="360" w:lineRule="auto"/>
        <w:ind w:firstLine="480" w:firstLineChars="200"/>
        <w:rPr>
          <w:rFonts w:hint="default" w:eastAsia="宋体"/>
          <w:sz w:val="24"/>
          <w:szCs w:val="24"/>
          <w:highlight w:val="none"/>
          <w:lang w:val="en-US" w:eastAsia="zh-CN"/>
        </w:rPr>
      </w:pPr>
      <w:r>
        <w:rPr>
          <w:rFonts w:hint="eastAsia"/>
          <w:sz w:val="24"/>
          <w:szCs w:val="24"/>
          <w:highlight w:val="none"/>
        </w:rPr>
        <w:t>甲方：</w:t>
      </w:r>
      <w:r>
        <w:rPr>
          <w:rFonts w:hint="eastAsia"/>
          <w:sz w:val="24"/>
          <w:szCs w:val="24"/>
          <w:highlight w:val="none"/>
          <w:lang w:val="en-US" w:eastAsia="zh-CN"/>
        </w:rPr>
        <w:t>惠州大亚湾环境水务集团有限公司</w:t>
      </w:r>
    </w:p>
    <w:p w14:paraId="2355E81A">
      <w:pPr>
        <w:pStyle w:val="2"/>
        <w:tabs>
          <w:tab w:val="left" w:pos="2191"/>
        </w:tabs>
        <w:spacing w:line="360" w:lineRule="auto"/>
        <w:ind w:firstLine="480" w:firstLineChars="200"/>
        <w:rPr>
          <w:sz w:val="24"/>
          <w:szCs w:val="24"/>
          <w:highlight w:val="none"/>
        </w:rPr>
      </w:pPr>
      <w:r>
        <w:rPr>
          <w:rFonts w:hint="eastAsia"/>
          <w:sz w:val="24"/>
          <w:szCs w:val="24"/>
          <w:highlight w:val="none"/>
        </w:rPr>
        <w:t>乙方：</w:t>
      </w:r>
    </w:p>
    <w:p w14:paraId="75B70B7B">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为加强【</w:t>
      </w:r>
      <w:r>
        <w:rPr>
          <w:rFonts w:hint="eastAsia" w:cs="宋体"/>
          <w:i w:val="0"/>
          <w:kern w:val="0"/>
          <w:sz w:val="24"/>
          <w:szCs w:val="24"/>
          <w:highlight w:val="none"/>
          <w:u w:val="none"/>
          <w:lang w:val="en-US" w:eastAsia="zh-CN"/>
        </w:rPr>
        <w:t>大亚湾淡澳河水质提升服务项目资产残余价值转让合同</w:t>
      </w:r>
      <w:r>
        <w:rPr>
          <w:rFonts w:hint="eastAsia" w:ascii="宋体" w:hAnsi="宋体" w:eastAsia="宋体" w:cs="宋体"/>
          <w:sz w:val="24"/>
          <w:szCs w:val="24"/>
          <w:highlight w:val="none"/>
        </w:rPr>
        <w:t>】主合同的全面、合规履行，防范合同履行过程中的合规风险，根据《中华人民共和国反不正当竞争法》《中华人民共和国数据安全法》《中华人民共和国反垄断法》等相关法律法规，等法律法规，双方经协商一致，订立本协议。</w:t>
      </w:r>
    </w:p>
    <w:p w14:paraId="1826CAC1">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第一条合规承诺</w:t>
      </w:r>
    </w:p>
    <w:p w14:paraId="506EBA3F">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1.1甲乙双方均承诺遵守所有适用的反腐败、反商业贿赂、数据安全、反垄断等相关法律法规及行业规范。</w:t>
      </w:r>
    </w:p>
    <w:p w14:paraId="6BED4A57">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1.2乙方承诺，其自身及其关联方（包括但不限于董事、管理人员、雇员及为履行主合同而聘请的第三方）在履行主合同过程中的所有行为，均受本协议约束。</w:t>
      </w:r>
    </w:p>
    <w:p w14:paraId="35D93C5A">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第二条甲方合规义务</w:t>
      </w:r>
    </w:p>
    <w:p w14:paraId="2D520EB2">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甲方在履行主合同过程中，除遵守法律法规外，还应遵守以下规定：</w:t>
      </w:r>
    </w:p>
    <w:p w14:paraId="129A8019">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（一）不得以任何方式向乙方索取或收受任何形式的非法利益，包括但不限于回扣、礼金、有价证券、贵重物品、好处费、感谢费等。</w:t>
      </w:r>
    </w:p>
    <w:p w14:paraId="1D63447D">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（二）不得要求乙方报销任何应由甲方或其工作人员个人承担的费用。</w:t>
      </w:r>
    </w:p>
    <w:p w14:paraId="23D78112">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（三）不得要求或接受乙方为其工作人员或特定关系人提供不当便利，如装修住房、安排婚丧嫁娶、配偶子女工作以及出国（境）、旅游等。</w:t>
      </w:r>
    </w:p>
    <w:p w14:paraId="042561F3">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（四）不得参加由乙方组织的、可能影响公正商业决策的宴请、健身、娱乐等活动。</w:t>
      </w:r>
    </w:p>
    <w:p w14:paraId="5ADB2B71">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第三条乙方合规义务</w:t>
      </w:r>
    </w:p>
    <w:p w14:paraId="112647B1">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乙方在履行主合同过程中，除遵守法律法规外，还应严格遵守以下规定：</w:t>
      </w:r>
    </w:p>
    <w:p w14:paraId="1958479E">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（一）反商业贿赂：不得以任何形式向甲方及其工作人员行贿或给予不正当利益，严禁以咨询费、服务费等任何名义变相支付。</w:t>
      </w:r>
    </w:p>
    <w:p w14:paraId="1E68EA1B">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（二）禁止违规往来：不得为甲方及其工作人员报销应由其个人支付的费用，或提供本协议第二条所列之不当便利。</w:t>
      </w:r>
    </w:p>
    <w:p w14:paraId="71B7795C">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（三）数据合规：在接触、处理甲方提供的任何数据时，应采取充分的安全保护措施，未经甲方事先书面授权不得复制、泄露或非法提供给第三方。</w:t>
      </w:r>
    </w:p>
    <w:p w14:paraId="23D05387">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（四）诚信报告：保证向甲方提供的所有资质、业绩等文件真实有效。发现甲方人员主动索贿的，应在24小时内向甲方指定部门实名举报。</w:t>
      </w:r>
    </w:p>
    <w:p w14:paraId="3F76F2B7">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（五）合规延伸：乙方有义务督促其下游分包商、供应商等遵守本协议的要求，并对其违规行为承担连带责任。</w:t>
      </w:r>
    </w:p>
    <w:p w14:paraId="6DEA25A3">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第四条违约责任</w:t>
      </w:r>
    </w:p>
    <w:p w14:paraId="774D1AC8">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4.1 甲方工作人员违反本协议的，由甲方依据内部规定处理；涉嫌犯罪的，移交司法机关依法追究责任。</w:t>
      </w:r>
    </w:p>
    <w:p w14:paraId="7623D4D2">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4.2 乙方违反本协议的，甲方有权视情形采取以下一项或多项措施：</w:t>
      </w:r>
    </w:p>
    <w:p w14:paraId="48117093">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（一）甲方有权单方立即解除主合同；</w:t>
      </w:r>
    </w:p>
    <w:p w14:paraId="6C4284A9">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（二）乙方应按主合同总金额的【20%】向甲方支付违约金，该违约金不足以弥补甲方损失的，乙方应予以补足；</w:t>
      </w:r>
    </w:p>
    <w:p w14:paraId="2A4640EB">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（三）甲方有权将乙方列入供应商黑名单；</w:t>
      </w:r>
    </w:p>
    <w:p w14:paraId="684112B8">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（四）涉嫌犯罪的，移交司法机关追究刑事责任。</w:t>
      </w:r>
    </w:p>
    <w:p w14:paraId="377628EC">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第五条 其他</w:t>
      </w:r>
    </w:p>
    <w:p w14:paraId="55B30207">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5.1 本协议作为主合同的附件，与主合同具有同等法律效力。凡本协议未作约定之事宜，均以主合同约定为准。</w:t>
      </w:r>
    </w:p>
    <w:p w14:paraId="735B24A8">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5.2 本协议有效期与主合同履行期限一致。主合同无效、撤销或终止的，不影响本协议中关于违约责任等独立性条款的效力。</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4" w:space="0"/>
          <w:insideV w:val="single" w:color="auto" w:sz="4" w:space="0"/>
        </w:tblBorders>
        <w:tblLayout w:type="fixed"/>
        <w:tblCellMar>
          <w:top w:w="0" w:type="dxa"/>
          <w:left w:w="108" w:type="dxa"/>
          <w:bottom w:w="0" w:type="dxa"/>
          <w:right w:w="108" w:type="dxa"/>
        </w:tblCellMar>
      </w:tblPr>
      <w:tblGrid>
        <w:gridCol w:w="4559"/>
        <w:gridCol w:w="4559"/>
      </w:tblGrid>
      <w:tr w14:paraId="7A4A2B4F">
        <w:tblPrEx>
          <w:tblBorders>
            <w:top w:val="single" w:color="auto" w:sz="4" w:space="0"/>
            <w:left w:val="single" w:color="auto" w:sz="4" w:space="0"/>
            <w:bottom w:val="single" w:color="auto" w:sz="4" w:space="0"/>
            <w:right w:val="single" w:color="auto" w:sz="4" w:space="0"/>
            <w:insideH w:val="none" w:color="auto" w:sz="4" w:space="0"/>
            <w:insideV w:val="single" w:color="auto" w:sz="4" w:space="0"/>
          </w:tblBorders>
          <w:tblCellMar>
            <w:top w:w="0" w:type="dxa"/>
            <w:left w:w="108" w:type="dxa"/>
            <w:bottom w:w="0" w:type="dxa"/>
            <w:right w:w="108" w:type="dxa"/>
          </w:tblCellMar>
        </w:tblPrEx>
        <w:tc>
          <w:tcPr>
            <w:tcW w:w="4559" w:type="dxa"/>
            <w:tcBorders>
              <w:top w:val="single" w:color="auto" w:sz="4" w:space="0"/>
              <w:left w:val="single" w:color="auto" w:sz="4" w:space="0"/>
              <w:bottom w:val="single" w:color="auto" w:sz="4" w:space="0"/>
              <w:right w:val="single" w:color="auto" w:sz="4" w:space="0"/>
            </w:tcBorders>
            <w:noWrap w:val="0"/>
            <w:vAlign w:val="center"/>
          </w:tcPr>
          <w:p w14:paraId="280F4860">
            <w:pPr>
              <w:pStyle w:val="2"/>
              <w:tabs>
                <w:tab w:val="left" w:pos="2191"/>
              </w:tabs>
              <w:autoSpaceDE/>
              <w:autoSpaceDN/>
              <w:spacing w:line="460" w:lineRule="atLeast"/>
              <w:ind w:firstLine="0" w:firstLineChars="0"/>
              <w:rPr>
                <w:rFonts w:hint="eastAsia" w:ascii="宋体" w:hAnsi="宋体" w:eastAsia="宋体" w:cs="宋体"/>
                <w:b w:val="0"/>
                <w:sz w:val="24"/>
                <w:szCs w:val="24"/>
                <w:highlight w:val="none"/>
                <w:lang w:eastAsia="zh-CN"/>
              </w:rPr>
            </w:pPr>
            <w:r>
              <w:rPr>
                <w:rFonts w:hint="eastAsia" w:ascii="宋体" w:hAnsi="宋体" w:eastAsia="宋体" w:cs="宋体"/>
                <w:b w:val="0"/>
                <w:sz w:val="24"/>
                <w:szCs w:val="24"/>
                <w:highlight w:val="none"/>
                <w:lang w:bidi="ar"/>
              </w:rPr>
              <w:t>甲方</w:t>
            </w:r>
          </w:p>
        </w:tc>
        <w:tc>
          <w:tcPr>
            <w:tcW w:w="4559" w:type="dxa"/>
            <w:tcBorders>
              <w:top w:val="single" w:color="auto" w:sz="4" w:space="0"/>
              <w:left w:val="single" w:color="auto" w:sz="4" w:space="0"/>
              <w:bottom w:val="single" w:color="auto" w:sz="4" w:space="0"/>
              <w:right w:val="single" w:color="auto" w:sz="4" w:space="0"/>
            </w:tcBorders>
            <w:noWrap w:val="0"/>
            <w:vAlign w:val="center"/>
          </w:tcPr>
          <w:p w14:paraId="0198D67C">
            <w:pPr>
              <w:pStyle w:val="2"/>
              <w:tabs>
                <w:tab w:val="left" w:pos="2191"/>
              </w:tabs>
              <w:autoSpaceDE/>
              <w:autoSpaceDN/>
              <w:spacing w:line="460" w:lineRule="atLeast"/>
              <w:ind w:firstLine="0" w:firstLineChars="0"/>
              <w:rPr>
                <w:rFonts w:hint="eastAsia" w:ascii="宋体" w:hAnsi="宋体" w:eastAsia="宋体" w:cs="宋体"/>
                <w:b w:val="0"/>
                <w:sz w:val="24"/>
                <w:szCs w:val="24"/>
                <w:highlight w:val="none"/>
                <w:lang w:eastAsia="zh-CN"/>
              </w:rPr>
            </w:pPr>
            <w:r>
              <w:rPr>
                <w:rFonts w:hint="eastAsia" w:ascii="宋体" w:hAnsi="宋体" w:eastAsia="宋体" w:cs="宋体"/>
                <w:b w:val="0"/>
                <w:sz w:val="24"/>
                <w:szCs w:val="24"/>
                <w:highlight w:val="none"/>
                <w:lang w:bidi="ar"/>
              </w:rPr>
              <w:t>乙方</w:t>
            </w:r>
          </w:p>
        </w:tc>
      </w:tr>
      <w:tr w14:paraId="1FA4F270">
        <w:tblPrEx>
          <w:tblBorders>
            <w:top w:val="single" w:color="auto" w:sz="4" w:space="0"/>
            <w:left w:val="single" w:color="auto" w:sz="4" w:space="0"/>
            <w:bottom w:val="single" w:color="auto" w:sz="4" w:space="0"/>
            <w:right w:val="single" w:color="auto" w:sz="4" w:space="0"/>
            <w:insideH w:val="none" w:color="auto" w:sz="4" w:space="0"/>
            <w:insideV w:val="single" w:color="auto" w:sz="4" w:space="0"/>
          </w:tblBorders>
          <w:tblCellMar>
            <w:top w:w="0" w:type="dxa"/>
            <w:left w:w="108" w:type="dxa"/>
            <w:bottom w:w="0" w:type="dxa"/>
            <w:right w:w="108" w:type="dxa"/>
          </w:tblCellMar>
        </w:tblPrEx>
        <w:trPr>
          <w:trHeight w:val="2139" w:hRule="atLeast"/>
        </w:trPr>
        <w:tc>
          <w:tcPr>
            <w:tcW w:w="4559" w:type="dxa"/>
            <w:tcBorders>
              <w:top w:val="single" w:color="auto" w:sz="4" w:space="0"/>
              <w:left w:val="single" w:color="auto" w:sz="4" w:space="0"/>
              <w:bottom w:val="single" w:color="auto" w:sz="4" w:space="0"/>
              <w:right w:val="single" w:color="auto" w:sz="4" w:space="0"/>
            </w:tcBorders>
            <w:noWrap w:val="0"/>
            <w:vAlign w:val="top"/>
          </w:tcPr>
          <w:p w14:paraId="5C56A0E4">
            <w:pPr>
              <w:pStyle w:val="2"/>
              <w:tabs>
                <w:tab w:val="left" w:pos="2191"/>
              </w:tabs>
              <w:autoSpaceDE/>
              <w:autoSpaceDN/>
              <w:spacing w:line="460" w:lineRule="atLeast"/>
              <w:ind w:firstLine="0"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单位名称（盖章）: </w:t>
            </w:r>
          </w:p>
          <w:p w14:paraId="5B784303">
            <w:pPr>
              <w:pStyle w:val="2"/>
              <w:tabs>
                <w:tab w:val="left" w:pos="2191"/>
              </w:tabs>
              <w:autoSpaceDE/>
              <w:autoSpaceDN/>
              <w:spacing w:line="460" w:lineRule="atLeas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惠州大亚湾环境水务集团有限公司 　  　　</w:t>
            </w:r>
          </w:p>
          <w:p w14:paraId="0264023B">
            <w:pPr>
              <w:pStyle w:val="2"/>
              <w:tabs>
                <w:tab w:val="left" w:pos="2191"/>
              </w:tabs>
              <w:autoSpaceDE/>
              <w:autoSpaceDN/>
              <w:spacing w:line="460" w:lineRule="atLeast"/>
              <w:ind w:firstLine="480" w:firstLineChars="200"/>
              <w:rPr>
                <w:rFonts w:hint="eastAsia" w:ascii="宋体" w:hAnsi="宋体" w:eastAsia="宋体" w:cs="宋体"/>
                <w:sz w:val="24"/>
                <w:szCs w:val="24"/>
                <w:highlight w:val="none"/>
              </w:rPr>
            </w:pPr>
          </w:p>
        </w:tc>
        <w:tc>
          <w:tcPr>
            <w:tcW w:w="4559" w:type="dxa"/>
            <w:tcBorders>
              <w:top w:val="single" w:color="auto" w:sz="4" w:space="0"/>
              <w:left w:val="single" w:color="auto" w:sz="4" w:space="0"/>
              <w:bottom w:val="single" w:color="auto" w:sz="4" w:space="0"/>
              <w:right w:val="single" w:color="auto" w:sz="4" w:space="0"/>
            </w:tcBorders>
            <w:noWrap w:val="0"/>
            <w:vAlign w:val="top"/>
          </w:tcPr>
          <w:p w14:paraId="7F9EFCFA">
            <w:pPr>
              <w:pStyle w:val="2"/>
              <w:tabs>
                <w:tab w:val="left" w:pos="2191"/>
              </w:tabs>
              <w:autoSpaceDE/>
              <w:autoSpaceDN/>
              <w:spacing w:line="460" w:lineRule="atLeast"/>
              <w:ind w:firstLine="0"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单位名称（盖章）: </w:t>
            </w:r>
          </w:p>
          <w:p w14:paraId="34DC89CD">
            <w:pPr>
              <w:pStyle w:val="2"/>
              <w:tabs>
                <w:tab w:val="left" w:pos="2191"/>
              </w:tabs>
              <w:autoSpaceDE/>
              <w:autoSpaceDN/>
              <w:spacing w:line="460" w:lineRule="atLeast"/>
              <w:ind w:firstLine="480" w:firstLineChars="200"/>
              <w:rPr>
                <w:rFonts w:hint="eastAsia" w:ascii="宋体" w:hAnsi="宋体" w:eastAsia="宋体" w:cs="宋体"/>
                <w:sz w:val="24"/>
                <w:szCs w:val="24"/>
                <w:highlight w:val="none"/>
              </w:rPr>
            </w:pPr>
          </w:p>
        </w:tc>
      </w:tr>
    </w:tbl>
    <w:p w14:paraId="0FF13C3E">
      <w:pPr>
        <w:pStyle w:val="2"/>
        <w:rPr>
          <w:rFonts w:hint="default" w:ascii="宋体" w:hAnsi="宋体" w:cs="宋体"/>
        </w:rPr>
      </w:pPr>
    </w:p>
    <w:sectPr>
      <w:pgSz w:w="11900" w:h="16840"/>
      <w:pgMar w:top="1440" w:right="1080" w:bottom="1440" w:left="1080" w:header="0" w:footer="4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4AEB">
    <w:pPr>
      <w:spacing w:before="1" w:line="236" w:lineRule="auto"/>
      <w:ind w:left="4501"/>
      <w:rPr>
        <w:rFonts w:ascii="微软雅黑" w:hAnsi="微软雅黑" w:eastAsia="微软雅黑" w:cs="微软雅黑"/>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0DEB3">
    <w:pPr>
      <w:spacing w:before="1" w:line="236" w:lineRule="auto"/>
      <w:ind w:left="4501"/>
      <w:rPr>
        <w:rFonts w:ascii="微软雅黑" w:hAnsi="微软雅黑" w:eastAsia="微软雅黑" w:cs="微软雅黑"/>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85D5">
    <w:pPr>
      <w:spacing w:before="1" w:line="236" w:lineRule="auto"/>
      <w:ind w:left="4501"/>
      <w:rPr>
        <w:rFonts w:ascii="微软雅黑" w:hAnsi="微软雅黑" w:eastAsia="微软雅黑" w:cs="微软雅黑"/>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A0A34">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9A0A34">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494EDB"/>
    <w:rsid w:val="000B69CC"/>
    <w:rsid w:val="00172F6A"/>
    <w:rsid w:val="00491A60"/>
    <w:rsid w:val="004B5A80"/>
    <w:rsid w:val="004F2C48"/>
    <w:rsid w:val="0053261D"/>
    <w:rsid w:val="00670F53"/>
    <w:rsid w:val="009708C9"/>
    <w:rsid w:val="009A4EDD"/>
    <w:rsid w:val="00B41ABE"/>
    <w:rsid w:val="00B560AE"/>
    <w:rsid w:val="00B96561"/>
    <w:rsid w:val="00BD39BB"/>
    <w:rsid w:val="00DB4716"/>
    <w:rsid w:val="00E92848"/>
    <w:rsid w:val="00F43773"/>
    <w:rsid w:val="00F4600A"/>
    <w:rsid w:val="00F90930"/>
    <w:rsid w:val="00FB47CA"/>
    <w:rsid w:val="01906D51"/>
    <w:rsid w:val="02827401"/>
    <w:rsid w:val="03604B36"/>
    <w:rsid w:val="037C5A89"/>
    <w:rsid w:val="0481300D"/>
    <w:rsid w:val="05F51D94"/>
    <w:rsid w:val="06EA3869"/>
    <w:rsid w:val="07A46A7C"/>
    <w:rsid w:val="083F3690"/>
    <w:rsid w:val="0A4469AC"/>
    <w:rsid w:val="0A890C58"/>
    <w:rsid w:val="0AD35BED"/>
    <w:rsid w:val="0B1F5471"/>
    <w:rsid w:val="0B224DC6"/>
    <w:rsid w:val="0D2D452A"/>
    <w:rsid w:val="0DAE1515"/>
    <w:rsid w:val="0E2B0366"/>
    <w:rsid w:val="11467AD7"/>
    <w:rsid w:val="12F62DC0"/>
    <w:rsid w:val="134204A7"/>
    <w:rsid w:val="143E3EDC"/>
    <w:rsid w:val="14E54552"/>
    <w:rsid w:val="16AB4327"/>
    <w:rsid w:val="16EA560B"/>
    <w:rsid w:val="17B20EAC"/>
    <w:rsid w:val="17E94A30"/>
    <w:rsid w:val="1A84113F"/>
    <w:rsid w:val="1BB706F5"/>
    <w:rsid w:val="1BC15B96"/>
    <w:rsid w:val="1CCB12BB"/>
    <w:rsid w:val="1DEF4CFF"/>
    <w:rsid w:val="1E030D91"/>
    <w:rsid w:val="1E981433"/>
    <w:rsid w:val="207641CD"/>
    <w:rsid w:val="21061043"/>
    <w:rsid w:val="21863F9C"/>
    <w:rsid w:val="21B73B54"/>
    <w:rsid w:val="21BA3038"/>
    <w:rsid w:val="21E048A5"/>
    <w:rsid w:val="224C42A4"/>
    <w:rsid w:val="229121BE"/>
    <w:rsid w:val="236E75BA"/>
    <w:rsid w:val="26AF7725"/>
    <w:rsid w:val="27CD1D51"/>
    <w:rsid w:val="27EC60E8"/>
    <w:rsid w:val="28780FB3"/>
    <w:rsid w:val="29522EB6"/>
    <w:rsid w:val="2A365971"/>
    <w:rsid w:val="2C755540"/>
    <w:rsid w:val="2DD10AA6"/>
    <w:rsid w:val="2E105B20"/>
    <w:rsid w:val="2E505D09"/>
    <w:rsid w:val="2EB21E3A"/>
    <w:rsid w:val="317119F4"/>
    <w:rsid w:val="31A21915"/>
    <w:rsid w:val="31D74F4E"/>
    <w:rsid w:val="323015C6"/>
    <w:rsid w:val="329F2FEE"/>
    <w:rsid w:val="32B75F3B"/>
    <w:rsid w:val="33A63A6A"/>
    <w:rsid w:val="33F97BC3"/>
    <w:rsid w:val="34D10206"/>
    <w:rsid w:val="35562CDB"/>
    <w:rsid w:val="35E4586B"/>
    <w:rsid w:val="35E55774"/>
    <w:rsid w:val="38393D06"/>
    <w:rsid w:val="397000A3"/>
    <w:rsid w:val="3B00406B"/>
    <w:rsid w:val="3C162DFA"/>
    <w:rsid w:val="3C6752CE"/>
    <w:rsid w:val="3D2D5BCB"/>
    <w:rsid w:val="3EE604EB"/>
    <w:rsid w:val="3FD247F8"/>
    <w:rsid w:val="406F4365"/>
    <w:rsid w:val="409D72CF"/>
    <w:rsid w:val="42325CD3"/>
    <w:rsid w:val="428B37CF"/>
    <w:rsid w:val="43956B6D"/>
    <w:rsid w:val="44214D53"/>
    <w:rsid w:val="445E056B"/>
    <w:rsid w:val="4539571E"/>
    <w:rsid w:val="477572D7"/>
    <w:rsid w:val="47D760D6"/>
    <w:rsid w:val="482201C3"/>
    <w:rsid w:val="482369D0"/>
    <w:rsid w:val="4A10689C"/>
    <w:rsid w:val="4A2139AD"/>
    <w:rsid w:val="4B582E90"/>
    <w:rsid w:val="5130287F"/>
    <w:rsid w:val="51F46575"/>
    <w:rsid w:val="531F3BAA"/>
    <w:rsid w:val="53C239E2"/>
    <w:rsid w:val="53E0763A"/>
    <w:rsid w:val="54A63CEC"/>
    <w:rsid w:val="55C122D7"/>
    <w:rsid w:val="56BB172E"/>
    <w:rsid w:val="571915F2"/>
    <w:rsid w:val="573A088A"/>
    <w:rsid w:val="57431B51"/>
    <w:rsid w:val="585C47B3"/>
    <w:rsid w:val="59CF1C35"/>
    <w:rsid w:val="5CBB36F1"/>
    <w:rsid w:val="5E5D0BCB"/>
    <w:rsid w:val="61875619"/>
    <w:rsid w:val="618A0621"/>
    <w:rsid w:val="62B527DA"/>
    <w:rsid w:val="63A95C8C"/>
    <w:rsid w:val="63B65410"/>
    <w:rsid w:val="648C619E"/>
    <w:rsid w:val="650A5824"/>
    <w:rsid w:val="66146E91"/>
    <w:rsid w:val="66184D93"/>
    <w:rsid w:val="661C5EF2"/>
    <w:rsid w:val="662D1EC8"/>
    <w:rsid w:val="680C21C5"/>
    <w:rsid w:val="68C93AF2"/>
    <w:rsid w:val="69F53676"/>
    <w:rsid w:val="6B47763A"/>
    <w:rsid w:val="6BA37E39"/>
    <w:rsid w:val="6D165F54"/>
    <w:rsid w:val="6E1A0726"/>
    <w:rsid w:val="6E41588B"/>
    <w:rsid w:val="6E494EDB"/>
    <w:rsid w:val="6F65657F"/>
    <w:rsid w:val="6F784B11"/>
    <w:rsid w:val="71A3556C"/>
    <w:rsid w:val="72A33CAF"/>
    <w:rsid w:val="738F7621"/>
    <w:rsid w:val="740D6797"/>
    <w:rsid w:val="75EA47E5"/>
    <w:rsid w:val="76DE6608"/>
    <w:rsid w:val="76F71A4C"/>
    <w:rsid w:val="79D26D62"/>
    <w:rsid w:val="7A0A448D"/>
    <w:rsid w:val="7AC557E6"/>
    <w:rsid w:val="7B430213"/>
    <w:rsid w:val="7B7624E5"/>
    <w:rsid w:val="7C6554C9"/>
    <w:rsid w:val="7EC8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qFormat/>
    <w:uiPriority w:val="0"/>
    <w:pPr>
      <w:keepNext/>
      <w:keepLines/>
      <w:spacing w:before="340" w:after="330" w:line="576" w:lineRule="auto"/>
      <w:outlineLvl w:val="0"/>
    </w:pPr>
    <w:rPr>
      <w:rFonts w:ascii="Times New Roman" w:hAnsi="Times New Roman" w:eastAsia="微软雅黑" w:cs="Times New Roman"/>
      <w:b/>
      <w:kern w:val="44"/>
      <w:sz w:val="32"/>
      <w:szCs w:val="44"/>
    </w:rPr>
  </w:style>
  <w:style w:type="paragraph" w:styleId="4">
    <w:name w:val="heading 2"/>
    <w:basedOn w:val="1"/>
    <w:next w:val="1"/>
    <w:link w:val="35"/>
    <w:qFormat/>
    <w:uiPriority w:val="0"/>
    <w:pPr>
      <w:keepNext/>
      <w:keepLines/>
      <w:spacing w:before="140" w:after="140"/>
      <w:ind w:firstLine="200" w:firstLineChars="200"/>
      <w:outlineLvl w:val="1"/>
    </w:pPr>
    <w:rPr>
      <w:rFonts w:ascii="宋体" w:hAnsi="宋体" w:cs="宋体"/>
      <w:b/>
      <w:bCs/>
      <w:sz w:val="24"/>
    </w:rPr>
  </w:style>
  <w:style w:type="paragraph" w:styleId="5">
    <w:name w:val="heading 3"/>
    <w:basedOn w:val="1"/>
    <w:next w:val="1"/>
    <w:unhideWhenUsed/>
    <w:qFormat/>
    <w:uiPriority w:val="0"/>
    <w:pPr>
      <w:spacing w:before="100" w:beforeAutospacing="1" w:after="100" w:afterAutospacing="1"/>
      <w:outlineLvl w:val="2"/>
    </w:pPr>
    <w:rPr>
      <w:rFonts w:hint="eastAsia" w:ascii="宋体" w:hAnsi="宋体" w:eastAsia="宋体" w:cs="Times New Roman"/>
      <w:b/>
      <w:bCs/>
      <w:sz w:val="27"/>
      <w:szCs w:val="27"/>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9"/>
      <w:szCs w:val="19"/>
    </w:rPr>
  </w:style>
  <w:style w:type="paragraph" w:styleId="6">
    <w:name w:val="Normal Indent"/>
    <w:basedOn w:val="1"/>
    <w:qFormat/>
    <w:uiPriority w:val="99"/>
    <w:pPr>
      <w:tabs>
        <w:tab w:val="left" w:pos="630"/>
        <w:tab w:val="left" w:pos="1155"/>
      </w:tabs>
      <w:spacing w:line="360" w:lineRule="auto"/>
      <w:ind w:firstLine="420" w:firstLineChars="200"/>
    </w:pPr>
    <w:rPr>
      <w:rFonts w:eastAsia="仿宋_GB2312"/>
      <w:sz w:val="28"/>
    </w:rPr>
  </w:style>
  <w:style w:type="paragraph" w:styleId="7">
    <w:name w:val="annotation text"/>
    <w:basedOn w:val="1"/>
    <w:link w:val="36"/>
    <w:qFormat/>
    <w:uiPriority w:val="0"/>
  </w:style>
  <w:style w:type="paragraph" w:styleId="8">
    <w:name w:val="Body Text 3"/>
    <w:basedOn w:val="1"/>
    <w:qFormat/>
    <w:uiPriority w:val="0"/>
    <w:pPr>
      <w:spacing w:after="120"/>
    </w:pPr>
    <w:rPr>
      <w:sz w:val="16"/>
      <w:szCs w:val="16"/>
    </w:r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qFormat/>
    <w:uiPriority w:val="0"/>
    <w:rPr>
      <w:rFonts w:ascii="宋体" w:hAnsi="Courier New" w:eastAsia="宋体" w:cs="Courier New"/>
      <w:kern w:val="2"/>
    </w:rPr>
  </w:style>
  <w:style w:type="paragraph" w:styleId="11">
    <w:name w:val="footer"/>
    <w:basedOn w:val="1"/>
    <w:qFormat/>
    <w:uiPriority w:val="0"/>
    <w:pPr>
      <w:tabs>
        <w:tab w:val="center" w:pos="4153"/>
        <w:tab w:val="right" w:pos="8306"/>
      </w:tabs>
    </w:pPr>
    <w:rPr>
      <w:sz w:val="18"/>
    </w:rPr>
  </w:style>
  <w:style w:type="paragraph" w:styleId="12">
    <w:name w:val="header"/>
    <w:basedOn w:val="1"/>
    <w:link w:val="38"/>
    <w:qFormat/>
    <w:uiPriority w:val="0"/>
    <w:pPr>
      <w:tabs>
        <w:tab w:val="center" w:pos="4153"/>
        <w:tab w:val="right" w:pos="8306"/>
      </w:tabs>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widowControl w:val="0"/>
      <w:kinsoku/>
      <w:autoSpaceDE/>
      <w:autoSpaceDN/>
      <w:adjustRightInd/>
      <w:snapToGrid/>
      <w:ind w:left="420" w:leftChars="200"/>
      <w:jc w:val="both"/>
      <w:textAlignment w:val="auto"/>
    </w:pPr>
    <w:rPr>
      <w:rFonts w:ascii="Calibri" w:hAnsi="Calibri" w:eastAsia="宋体" w:cs="Calibri"/>
      <w:snapToGrid/>
      <w:color w:val="auto"/>
      <w:kern w:val="2"/>
    </w:rPr>
  </w:style>
  <w:style w:type="paragraph" w:styleId="15">
    <w:name w:val="Body Text 2"/>
    <w:basedOn w:val="1"/>
    <w:next w:val="1"/>
    <w:qFormat/>
    <w:uiPriority w:val="0"/>
    <w:pPr>
      <w:spacing w:line="300" w:lineRule="auto"/>
    </w:pPr>
    <w:rPr>
      <w:rFonts w:ascii="宋体" w:hAnsi="宋体"/>
      <w:color w:val="0000FF"/>
      <w:sz w:val="24"/>
      <w:szCs w:val="20"/>
    </w:rPr>
  </w:style>
  <w:style w:type="paragraph" w:styleId="16">
    <w:name w:val="Normal (Web)"/>
    <w:basedOn w:val="1"/>
    <w:unhideWhenUsed/>
    <w:qFormat/>
    <w:uiPriority w:val="99"/>
    <w:pPr>
      <w:spacing w:before="100" w:beforeAutospacing="1" w:after="100" w:afterAutospacing="1"/>
    </w:pPr>
    <w:rPr>
      <w:rFonts w:ascii="宋体" w:hAnsi="宋体" w:cs="宋体"/>
      <w:sz w:val="24"/>
    </w:rPr>
  </w:style>
  <w:style w:type="paragraph" w:styleId="17">
    <w:name w:val="annotation subject"/>
    <w:basedOn w:val="7"/>
    <w:next w:val="7"/>
    <w:link w:val="37"/>
    <w:qFormat/>
    <w:uiPriority w:val="0"/>
    <w:rPr>
      <w:b/>
      <w:bCs/>
    </w:rPr>
  </w:style>
  <w:style w:type="paragraph" w:styleId="18">
    <w:name w:val="Body Text First Indent"/>
    <w:basedOn w:val="2"/>
    <w:next w:val="19"/>
    <w:qFormat/>
    <w:uiPriority w:val="0"/>
    <w:pPr>
      <w:spacing w:after="120"/>
      <w:ind w:firstLine="420" w:firstLineChars="100"/>
    </w:pPr>
    <w:rPr>
      <w:sz w:val="21"/>
      <w:szCs w:val="24"/>
    </w:rPr>
  </w:style>
  <w:style w:type="paragraph" w:styleId="19">
    <w:name w:val="Body Text First Indent 2"/>
    <w:basedOn w:val="9"/>
    <w:qFormat/>
    <w:uiPriority w:val="0"/>
    <w:pPr>
      <w:ind w:firstLine="420" w:firstLineChars="200"/>
    </w:pPr>
    <w:rPr>
      <w:rFonts w:ascii="Calibri" w:hAnsi="Calibri" w:eastAsia="宋体" w:cs="Times New Roman"/>
      <w:bCs/>
    </w:r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Paragraph"/>
    <w:basedOn w:val="1"/>
    <w:qFormat/>
    <w:uiPriority w:val="1"/>
    <w:rPr>
      <w:rFonts w:ascii="宋体" w:hAnsi="宋体" w:eastAsia="宋体" w:cs="宋体"/>
      <w:lang w:val="zh-CN" w:bidi="zh-CN"/>
    </w:rPr>
  </w:style>
  <w:style w:type="paragraph" w:styleId="26">
    <w:name w:val="List Paragraph"/>
    <w:basedOn w:val="1"/>
    <w:qFormat/>
    <w:uiPriority w:val="1"/>
    <w:pPr>
      <w:ind w:left="100" w:firstLine="424"/>
    </w:pPr>
    <w:rPr>
      <w:rFonts w:ascii="宋体" w:hAnsi="宋体" w:eastAsia="宋体" w:cs="宋体"/>
      <w:lang w:val="zh-CN" w:bidi="zh-CN"/>
    </w:rPr>
  </w:style>
  <w:style w:type="character" w:customStyle="1" w:styleId="27">
    <w:name w:val="font11"/>
    <w:basedOn w:val="21"/>
    <w:qFormat/>
    <w:uiPriority w:val="0"/>
    <w:rPr>
      <w:rFonts w:hint="eastAsia" w:ascii="宋体" w:hAnsi="宋体" w:eastAsia="宋体" w:cs="宋体"/>
      <w:b/>
      <w:bCs/>
      <w:color w:val="000000"/>
      <w:sz w:val="47"/>
      <w:szCs w:val="47"/>
      <w:u w:val="none"/>
    </w:rPr>
  </w:style>
  <w:style w:type="character" w:customStyle="1" w:styleId="28">
    <w:name w:val="font31"/>
    <w:basedOn w:val="21"/>
    <w:qFormat/>
    <w:uiPriority w:val="0"/>
    <w:rPr>
      <w:rFonts w:hint="eastAsia" w:ascii="宋体" w:hAnsi="宋体" w:eastAsia="宋体" w:cs="宋体"/>
      <w:b/>
      <w:bCs/>
      <w:color w:val="000000"/>
      <w:sz w:val="25"/>
      <w:szCs w:val="25"/>
      <w:u w:val="none"/>
    </w:rPr>
  </w:style>
  <w:style w:type="character" w:customStyle="1" w:styleId="29">
    <w:name w:val="font91"/>
    <w:basedOn w:val="21"/>
    <w:qFormat/>
    <w:uiPriority w:val="0"/>
    <w:rPr>
      <w:rFonts w:hint="eastAsia" w:ascii="宋体" w:hAnsi="宋体" w:eastAsia="宋体" w:cs="宋体"/>
      <w:color w:val="000000"/>
      <w:sz w:val="25"/>
      <w:szCs w:val="25"/>
      <w:u w:val="none"/>
    </w:rPr>
  </w:style>
  <w:style w:type="character" w:customStyle="1" w:styleId="30">
    <w:name w:val="font41"/>
    <w:basedOn w:val="21"/>
    <w:qFormat/>
    <w:uiPriority w:val="0"/>
    <w:rPr>
      <w:rFonts w:hint="eastAsia" w:ascii="宋体" w:hAnsi="宋体" w:eastAsia="宋体" w:cs="宋体"/>
      <w:b/>
      <w:bCs/>
      <w:color w:val="000000"/>
      <w:sz w:val="21"/>
      <w:szCs w:val="21"/>
      <w:u w:val="none"/>
    </w:rPr>
  </w:style>
  <w:style w:type="character" w:customStyle="1" w:styleId="31">
    <w:name w:val="font21"/>
    <w:basedOn w:val="21"/>
    <w:qFormat/>
    <w:uiPriority w:val="0"/>
    <w:rPr>
      <w:rFonts w:hint="eastAsia" w:ascii="宋体" w:hAnsi="宋体" w:eastAsia="宋体" w:cs="宋体"/>
      <w:color w:val="000000"/>
      <w:sz w:val="21"/>
      <w:szCs w:val="21"/>
      <w:u w:val="none"/>
    </w:rPr>
  </w:style>
  <w:style w:type="character" w:customStyle="1" w:styleId="32">
    <w:name w:val="font51"/>
    <w:basedOn w:val="21"/>
    <w:qFormat/>
    <w:uiPriority w:val="0"/>
    <w:rPr>
      <w:rFonts w:hint="eastAsia" w:ascii="宋体" w:hAnsi="宋体" w:eastAsia="宋体" w:cs="宋体"/>
      <w:b/>
      <w:bCs/>
      <w:color w:val="000000"/>
      <w:sz w:val="21"/>
      <w:szCs w:val="21"/>
      <w:u w:val="none"/>
    </w:rPr>
  </w:style>
  <w:style w:type="paragraph" w:customStyle="1" w:styleId="33">
    <w:name w:val="Revision"/>
    <w:hidden/>
    <w:unhideWhenUsed/>
    <w:qFormat/>
    <w:uiPriority w:val="99"/>
    <w:rPr>
      <w:rFonts w:ascii="Arial" w:hAnsi="Arial" w:eastAsia="Arial" w:cs="Arial"/>
      <w:snapToGrid w:val="0"/>
      <w:color w:val="000000"/>
      <w:sz w:val="21"/>
      <w:szCs w:val="21"/>
      <w:lang w:val="en-US" w:eastAsia="zh-CN" w:bidi="ar-SA"/>
    </w:rPr>
  </w:style>
  <w:style w:type="paragraph" w:customStyle="1" w:styleId="34">
    <w:name w:val="Table Text"/>
    <w:basedOn w:val="1"/>
    <w:semiHidden/>
    <w:qFormat/>
    <w:uiPriority w:val="0"/>
    <w:pPr>
      <w:widowControl w:val="0"/>
      <w:kinsoku/>
      <w:autoSpaceDE/>
      <w:autoSpaceDN/>
      <w:adjustRightInd/>
      <w:snapToGrid/>
      <w:jc w:val="both"/>
      <w:textAlignment w:val="auto"/>
    </w:pPr>
    <w:rPr>
      <w:rFonts w:ascii="微软雅黑" w:hAnsi="微软雅黑" w:eastAsia="微软雅黑" w:cs="微软雅黑"/>
      <w:snapToGrid/>
      <w:color w:val="auto"/>
      <w:kern w:val="2"/>
      <w:sz w:val="16"/>
      <w:szCs w:val="16"/>
      <w:lang w:eastAsia="en-US"/>
    </w:rPr>
  </w:style>
  <w:style w:type="character" w:customStyle="1" w:styleId="35">
    <w:name w:val="标题 2 字符"/>
    <w:link w:val="4"/>
    <w:qFormat/>
    <w:uiPriority w:val="0"/>
    <w:rPr>
      <w:rFonts w:ascii="宋体" w:hAnsi="宋体" w:eastAsia="Arial" w:cs="宋体"/>
      <w:b/>
      <w:bCs/>
      <w:snapToGrid w:val="0"/>
      <w:color w:val="000000"/>
      <w:sz w:val="24"/>
      <w:szCs w:val="21"/>
    </w:rPr>
  </w:style>
  <w:style w:type="character" w:customStyle="1" w:styleId="36">
    <w:name w:val="批注文字 字符"/>
    <w:basedOn w:val="21"/>
    <w:link w:val="7"/>
    <w:qFormat/>
    <w:uiPriority w:val="0"/>
    <w:rPr>
      <w:rFonts w:ascii="Arial" w:hAnsi="Arial" w:eastAsia="Arial" w:cs="Arial"/>
      <w:snapToGrid w:val="0"/>
      <w:color w:val="000000"/>
      <w:sz w:val="21"/>
      <w:szCs w:val="21"/>
    </w:rPr>
  </w:style>
  <w:style w:type="character" w:customStyle="1" w:styleId="37">
    <w:name w:val="批注主题 字符"/>
    <w:basedOn w:val="36"/>
    <w:link w:val="17"/>
    <w:qFormat/>
    <w:uiPriority w:val="0"/>
    <w:rPr>
      <w:rFonts w:ascii="Arial" w:hAnsi="Arial" w:eastAsia="Arial" w:cs="Arial"/>
      <w:b/>
      <w:bCs/>
      <w:snapToGrid w:val="0"/>
      <w:color w:val="000000"/>
      <w:sz w:val="21"/>
      <w:szCs w:val="21"/>
    </w:rPr>
  </w:style>
  <w:style w:type="character" w:customStyle="1" w:styleId="38">
    <w:name w:val="页眉 字符"/>
    <w:basedOn w:val="21"/>
    <w:link w:val="12"/>
    <w:qFormat/>
    <w:uiPriority w:val="0"/>
    <w:rPr>
      <w:rFonts w:ascii="Arial" w:hAnsi="Arial" w:eastAsia="Arial" w:cs="Arial"/>
      <w:snapToGrid w:val="0"/>
      <w:color w:val="000000"/>
      <w:sz w:val="18"/>
      <w:szCs w:val="18"/>
    </w:rPr>
  </w:style>
  <w:style w:type="paragraph" w:customStyle="1" w:styleId="39">
    <w:name w:val="Address"/>
    <w:basedOn w:val="1"/>
    <w:next w:val="1"/>
    <w:qFormat/>
    <w:uiPriority w:val="0"/>
    <w:pPr>
      <w:autoSpaceDE w:val="0"/>
      <w:autoSpaceDN w:val="0"/>
      <w:adjustRightInd w:val="0"/>
      <w:jc w:val="left"/>
    </w:pPr>
    <w:rPr>
      <w:rFonts w:ascii="Calibri" w:hAnsi="Calibri"/>
      <w:i/>
      <w:kern w:val="0"/>
      <w:sz w:val="24"/>
    </w:rPr>
  </w:style>
  <w:style w:type="character" w:customStyle="1" w:styleId="40">
    <w:name w:val="Variable"/>
    <w:qFormat/>
    <w:uiPriority w:val="0"/>
    <w:rPr>
      <w:i/>
    </w:rPr>
  </w:style>
  <w:style w:type="character" w:customStyle="1" w:styleId="41">
    <w:name w:val="font81"/>
    <w:basedOn w:val="21"/>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5394</Words>
  <Characters>6034</Characters>
  <Lines>2190</Lines>
  <Paragraphs>1516</Paragraphs>
  <TotalTime>2</TotalTime>
  <ScaleCrop>false</ScaleCrop>
  <LinksUpToDate>false</LinksUpToDate>
  <CharactersWithSpaces>6281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2025-05-19T12:41:00Z</dcterms:created>
  <dc:creator>Liqueur chocolate</dc:creator>
  <cp:lastModifiedBy>许翠</cp:lastModifiedBy>
  <cp:lastPrinted>2026-05-18T01:03:12Z</cp:lastPrinted>
  <dcterms:modified xsi:type="dcterms:W3CDTF">2026-05-18T01:03:18Z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BF70FD546D024BE593D020757B8BC36E_13</vt:lpwstr>
  </property>
  <property fmtid="{D5CDD505-2E9C-101B-9397-08002B2CF9AE}" pid="4" name="KSOTemplateDocerSaveRecord">
    <vt:lpwstr>eyJoZGlkIjoiN2YzNjBkOTgyNWQ1YTMxYzM3MzMwNWFiODNmOWIzYWMiLCJ1c2VySWQiOiIyNjA1MDQ4NiJ9</vt:lpwstr>
  </property>
</Properties>
</file>