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B7BD8">
      <w:pPr>
        <w:spacing w:line="360" w:lineRule="auto"/>
        <w:jc w:val="left"/>
        <w:outlineLvl w:val="0"/>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合同范本</w:t>
      </w:r>
    </w:p>
    <w:p w14:paraId="06F728A0">
      <w:pPr>
        <w:tabs>
          <w:tab w:val="left" w:pos="736"/>
          <w:tab w:val="left" w:pos="3031"/>
        </w:tabs>
        <w:spacing w:before="141" w:line="360" w:lineRule="auto"/>
        <w:ind w:left="100"/>
        <w:rPr>
          <w:rFonts w:ascii="宋体" w:hAnsi="宋体" w:eastAsia="宋体" w:cs="宋体"/>
          <w:b/>
          <w:color w:val="auto"/>
          <w:sz w:val="28"/>
          <w:szCs w:val="28"/>
          <w:highlight w:val="none"/>
        </w:rPr>
      </w:pPr>
    </w:p>
    <w:p w14:paraId="6302D6C9">
      <w:pPr>
        <w:tabs>
          <w:tab w:val="left" w:pos="736"/>
          <w:tab w:val="left" w:pos="3031"/>
        </w:tabs>
        <w:spacing w:before="141" w:line="360" w:lineRule="auto"/>
        <w:ind w:left="100"/>
        <w:rPr>
          <w:rFonts w:ascii="宋体" w:hAnsi="宋体" w:eastAsia="宋体" w:cs="宋体"/>
          <w:b/>
          <w:color w:val="auto"/>
          <w:sz w:val="28"/>
          <w:szCs w:val="28"/>
          <w:highlight w:val="none"/>
        </w:rPr>
      </w:pPr>
    </w:p>
    <w:p w14:paraId="56A00B9A">
      <w:pPr>
        <w:spacing w:line="36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rPr>
        <w:t>大亚湾霞涌坜下（新材料产业园地块）砂石余渣处置项目（</w:t>
      </w:r>
      <w:r>
        <w:rPr>
          <w:rFonts w:hint="eastAsia" w:ascii="宋体" w:hAnsi="宋体" w:eastAsia="宋体" w:cs="宋体"/>
          <w:b/>
          <w:bCs/>
          <w:color w:val="auto"/>
          <w:sz w:val="48"/>
          <w:szCs w:val="48"/>
          <w:highlight w:val="none"/>
          <w:lang w:eastAsia="zh-CN"/>
        </w:rPr>
        <w:t>大亚湾石化拓展区三区重叠区域</w:t>
      </w:r>
      <w:r>
        <w:rPr>
          <w:rFonts w:hint="eastAsia" w:ascii="宋体" w:hAnsi="宋体" w:eastAsia="宋体" w:cs="宋体"/>
          <w:b/>
          <w:bCs/>
          <w:color w:val="auto"/>
          <w:sz w:val="48"/>
          <w:szCs w:val="48"/>
          <w:highlight w:val="none"/>
        </w:rPr>
        <w:t>）</w:t>
      </w:r>
      <w:r>
        <w:rPr>
          <w:rFonts w:hint="eastAsia" w:ascii="宋体" w:hAnsi="宋体" w:eastAsia="宋体" w:cs="宋体"/>
          <w:b/>
          <w:bCs/>
          <w:color w:val="auto"/>
          <w:sz w:val="48"/>
          <w:szCs w:val="48"/>
          <w:highlight w:val="none"/>
          <w:lang w:eastAsia="zh-CN"/>
        </w:rPr>
        <w:t>处置合同</w:t>
      </w:r>
    </w:p>
    <w:p w14:paraId="317C5322">
      <w:pPr>
        <w:spacing w:line="360" w:lineRule="auto"/>
        <w:ind w:firstLine="800" w:firstLineChars="250"/>
        <w:rPr>
          <w:rFonts w:ascii="宋体" w:hAnsi="宋体" w:cs="宋体"/>
          <w:b/>
          <w:bCs/>
          <w:color w:val="auto"/>
          <w:sz w:val="32"/>
          <w:szCs w:val="32"/>
          <w:highlight w:val="none"/>
        </w:rPr>
      </w:pPr>
    </w:p>
    <w:p w14:paraId="754CE349">
      <w:pPr>
        <w:pStyle w:val="17"/>
        <w:spacing w:line="360" w:lineRule="auto"/>
        <w:ind w:firstLine="210"/>
        <w:rPr>
          <w:color w:val="auto"/>
          <w:highlight w:val="none"/>
        </w:rPr>
      </w:pPr>
    </w:p>
    <w:p w14:paraId="1FA3BDAA">
      <w:pPr>
        <w:spacing w:line="360" w:lineRule="auto"/>
        <w:ind w:firstLine="800" w:firstLineChars="250"/>
        <w:rPr>
          <w:rFonts w:ascii="宋体" w:hAnsi="宋体" w:cs="宋体"/>
          <w:b/>
          <w:bCs/>
          <w:color w:val="auto"/>
          <w:sz w:val="32"/>
          <w:szCs w:val="32"/>
          <w:highlight w:val="none"/>
        </w:rPr>
      </w:pPr>
    </w:p>
    <w:p w14:paraId="1C6C238C">
      <w:pPr>
        <w:spacing w:line="360" w:lineRule="auto"/>
        <w:ind w:firstLine="1258" w:firstLineChars="393"/>
        <w:rPr>
          <w:rFonts w:ascii="宋体" w:hAnsi="宋体" w:eastAsia="宋体" w:cs="宋体"/>
          <w:b/>
          <w:bCs/>
          <w:color w:val="auto"/>
          <w:sz w:val="32"/>
          <w:szCs w:val="32"/>
          <w:highlight w:val="none"/>
        </w:rPr>
      </w:pPr>
      <w:r>
        <w:rPr>
          <w:rFonts w:hint="eastAsia" w:ascii="宋体" w:hAnsi="宋体" w:cs="宋体"/>
          <w:b/>
          <w:bCs/>
          <w:color w:val="auto"/>
          <w:sz w:val="32"/>
          <w:szCs w:val="32"/>
          <w:highlight w:val="none"/>
        </w:rPr>
        <w:t>甲方（</w:t>
      </w:r>
      <w:r>
        <w:rPr>
          <w:rFonts w:hint="eastAsia" w:ascii="宋体" w:hAnsi="宋体" w:eastAsia="宋体" w:cs="宋体"/>
          <w:b/>
          <w:bCs/>
          <w:color w:val="auto"/>
          <w:sz w:val="32"/>
          <w:szCs w:val="32"/>
          <w:highlight w:val="none"/>
        </w:rPr>
        <w:t>委托人</w:t>
      </w:r>
      <w:r>
        <w:rPr>
          <w:rFonts w:hint="eastAsia" w:ascii="宋体" w:hAnsi="宋体" w:cs="宋体"/>
          <w:b/>
          <w:bCs/>
          <w:color w:val="auto"/>
          <w:sz w:val="32"/>
          <w:szCs w:val="32"/>
          <w:highlight w:val="none"/>
        </w:rPr>
        <w:t>）：</w:t>
      </w:r>
    </w:p>
    <w:p w14:paraId="252FFBF8">
      <w:pPr>
        <w:spacing w:line="360" w:lineRule="auto"/>
        <w:ind w:firstLine="1258" w:firstLineChars="393"/>
        <w:rPr>
          <w:rFonts w:ascii="宋体" w:hAnsi="宋体" w:cs="宋体"/>
          <w:b/>
          <w:color w:val="auto"/>
          <w:sz w:val="32"/>
          <w:szCs w:val="32"/>
          <w:highlight w:val="none"/>
        </w:rPr>
      </w:pPr>
    </w:p>
    <w:p w14:paraId="347C8AB8">
      <w:pPr>
        <w:spacing w:line="360" w:lineRule="auto"/>
        <w:ind w:firstLine="1258" w:firstLineChars="393"/>
        <w:rPr>
          <w:rFonts w:ascii="宋体" w:hAnsi="宋体" w:eastAsia="宋体" w:cs="宋体"/>
          <w:b/>
          <w:bCs/>
          <w:color w:val="auto"/>
          <w:sz w:val="32"/>
          <w:szCs w:val="32"/>
          <w:highlight w:val="none"/>
        </w:rPr>
      </w:pPr>
      <w:r>
        <w:rPr>
          <w:rFonts w:hint="eastAsia" w:ascii="宋体" w:hAnsi="宋体" w:cs="宋体"/>
          <w:b/>
          <w:bCs/>
          <w:color w:val="auto"/>
          <w:sz w:val="32"/>
          <w:szCs w:val="32"/>
          <w:highlight w:val="none"/>
        </w:rPr>
        <w:t>乙方（</w:t>
      </w:r>
      <w:r>
        <w:rPr>
          <w:rFonts w:hint="eastAsia" w:ascii="宋体" w:hAnsi="宋体" w:eastAsia="宋体" w:cs="宋体"/>
          <w:b/>
          <w:bCs/>
          <w:color w:val="auto"/>
          <w:sz w:val="32"/>
          <w:szCs w:val="32"/>
          <w:highlight w:val="none"/>
        </w:rPr>
        <w:t>竞得人</w:t>
      </w:r>
      <w:r>
        <w:rPr>
          <w:rFonts w:hint="eastAsia" w:ascii="宋体" w:hAnsi="宋体" w:cs="宋体"/>
          <w:b/>
          <w:bCs/>
          <w:color w:val="auto"/>
          <w:sz w:val="32"/>
          <w:szCs w:val="32"/>
          <w:highlight w:val="none"/>
        </w:rPr>
        <w:t>）：</w:t>
      </w:r>
    </w:p>
    <w:p w14:paraId="11B0F6E2">
      <w:pPr>
        <w:spacing w:line="360" w:lineRule="auto"/>
        <w:ind w:firstLine="1258" w:firstLineChars="393"/>
        <w:rPr>
          <w:rFonts w:ascii="宋体" w:hAnsi="宋体" w:cs="宋体"/>
          <w:b/>
          <w:color w:val="auto"/>
          <w:sz w:val="32"/>
          <w:szCs w:val="32"/>
          <w:highlight w:val="none"/>
        </w:rPr>
      </w:pPr>
    </w:p>
    <w:p w14:paraId="5A27380F">
      <w:pPr>
        <w:spacing w:line="360" w:lineRule="auto"/>
        <w:ind w:firstLine="1258" w:firstLineChars="393"/>
        <w:rPr>
          <w:rFonts w:ascii="宋体" w:hAnsi="宋体" w:cs="宋体"/>
          <w:b/>
          <w:bCs/>
          <w:color w:val="auto"/>
          <w:sz w:val="32"/>
          <w:szCs w:val="32"/>
          <w:highlight w:val="none"/>
        </w:rPr>
      </w:pPr>
      <w:r>
        <w:rPr>
          <w:rFonts w:hint="eastAsia" w:ascii="宋体" w:hAnsi="宋体" w:cs="宋体"/>
          <w:b/>
          <w:bCs/>
          <w:color w:val="auto"/>
          <w:sz w:val="32"/>
          <w:szCs w:val="32"/>
          <w:highlight w:val="none"/>
        </w:rPr>
        <w:t>签约时间：</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rPr>
        <w:t>年</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rPr>
        <w:t>月</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rPr>
        <w:t>日</w:t>
      </w:r>
    </w:p>
    <w:p w14:paraId="1AB84E11">
      <w:pPr>
        <w:spacing w:line="360" w:lineRule="auto"/>
        <w:ind w:firstLine="1258" w:firstLineChars="393"/>
        <w:rPr>
          <w:rFonts w:ascii="宋体" w:hAnsi="宋体" w:cs="宋体"/>
          <w:b/>
          <w:bCs/>
          <w:color w:val="auto"/>
          <w:sz w:val="32"/>
          <w:szCs w:val="32"/>
          <w:highlight w:val="none"/>
        </w:rPr>
      </w:pPr>
    </w:p>
    <w:p w14:paraId="2813304D">
      <w:pPr>
        <w:spacing w:line="360" w:lineRule="auto"/>
        <w:ind w:firstLine="1258" w:firstLineChars="393"/>
        <w:rPr>
          <w:rFonts w:ascii="宋体" w:hAnsi="宋体" w:eastAsia="宋体" w:cs="宋体"/>
          <w:b/>
          <w:bCs/>
          <w:color w:val="auto"/>
          <w:sz w:val="32"/>
          <w:szCs w:val="32"/>
          <w:highlight w:val="none"/>
          <w:u w:val="single"/>
        </w:rPr>
      </w:pPr>
      <w:r>
        <w:rPr>
          <w:rFonts w:hint="eastAsia" w:ascii="宋体" w:hAnsi="宋体" w:cs="宋体"/>
          <w:b/>
          <w:bCs/>
          <w:color w:val="auto"/>
          <w:sz w:val="32"/>
          <w:szCs w:val="32"/>
          <w:highlight w:val="none"/>
        </w:rPr>
        <w:t>签约地点：</w:t>
      </w:r>
    </w:p>
    <w:p w14:paraId="6048B941">
      <w:pPr>
        <w:spacing w:line="360" w:lineRule="auto"/>
        <w:ind w:firstLine="1258" w:firstLineChars="393"/>
        <w:rPr>
          <w:rFonts w:ascii="宋体" w:hAnsi="宋体" w:cs="宋体"/>
          <w:b/>
          <w:bCs/>
          <w:color w:val="auto"/>
          <w:sz w:val="32"/>
          <w:szCs w:val="32"/>
          <w:highlight w:val="none"/>
          <w:u w:val="single"/>
        </w:rPr>
      </w:pPr>
    </w:p>
    <w:p w14:paraId="0C12C59F">
      <w:pPr>
        <w:spacing w:line="360" w:lineRule="auto"/>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br w:type="page"/>
      </w:r>
    </w:p>
    <w:p w14:paraId="0AF28477">
      <w:pPr>
        <w:spacing w:line="360" w:lineRule="auto"/>
        <w:ind w:firstLine="0" w:firstLineChars="0"/>
        <w:jc w:val="center"/>
        <w:rPr>
          <w:rFonts w:ascii="宋体" w:hAnsi="宋体" w:eastAsia="宋体" w:cs="宋体"/>
          <w:color w:val="auto"/>
          <w:szCs w:val="28"/>
          <w:highlight w:val="none"/>
        </w:rPr>
      </w:pPr>
      <w:r>
        <w:rPr>
          <w:rFonts w:hint="eastAsia" w:ascii="宋体" w:hAnsi="宋体" w:eastAsia="宋体" w:cs="宋体"/>
          <w:b/>
          <w:bCs/>
          <w:color w:val="auto"/>
          <w:sz w:val="36"/>
          <w:szCs w:val="36"/>
          <w:highlight w:val="none"/>
        </w:rPr>
        <w:t>大亚湾霞涌坜下（新材料产业园地块）砂石余渣处置项目（</w:t>
      </w:r>
      <w:r>
        <w:rPr>
          <w:rFonts w:hint="eastAsia" w:ascii="宋体" w:hAnsi="宋体" w:eastAsia="宋体" w:cs="宋体"/>
          <w:b/>
          <w:bCs/>
          <w:color w:val="auto"/>
          <w:sz w:val="36"/>
          <w:szCs w:val="36"/>
          <w:highlight w:val="none"/>
          <w:lang w:eastAsia="zh-CN"/>
        </w:rPr>
        <w:t>大亚湾石化拓展区三区重叠区域</w:t>
      </w:r>
      <w:r>
        <w:rPr>
          <w:rFonts w:hint="eastAsia" w:ascii="宋体" w:hAnsi="宋体" w:eastAsia="宋体" w:cs="宋体"/>
          <w:b/>
          <w:bCs/>
          <w:color w:val="auto"/>
          <w:sz w:val="36"/>
          <w:szCs w:val="36"/>
          <w:highlight w:val="none"/>
        </w:rPr>
        <w:t>）</w:t>
      </w:r>
      <w:r>
        <w:rPr>
          <w:rFonts w:hint="eastAsia" w:ascii="宋体" w:hAnsi="宋体" w:eastAsia="宋体" w:cs="宋体"/>
          <w:b/>
          <w:bCs/>
          <w:color w:val="auto"/>
          <w:sz w:val="36"/>
          <w:szCs w:val="36"/>
          <w:highlight w:val="none"/>
          <w:lang w:eastAsia="zh-CN"/>
        </w:rPr>
        <w:t>处置合同</w:t>
      </w:r>
    </w:p>
    <w:p w14:paraId="63D2AE03">
      <w:pPr>
        <w:pStyle w:val="8"/>
        <w:spacing w:line="360" w:lineRule="auto"/>
        <w:ind w:firstLine="428" w:firstLineChars="200"/>
        <w:rPr>
          <w:rFonts w:hint="eastAsia"/>
          <w:spacing w:val="-13"/>
          <w:sz w:val="24"/>
          <w:szCs w:val="24"/>
          <w:highlight w:val="none"/>
        </w:rPr>
      </w:pPr>
    </w:p>
    <w:p w14:paraId="211255BE">
      <w:pPr>
        <w:pStyle w:val="8"/>
        <w:spacing w:line="360" w:lineRule="auto"/>
        <w:ind w:firstLine="428" w:firstLineChars="200"/>
        <w:rPr>
          <w:sz w:val="24"/>
          <w:szCs w:val="24"/>
          <w:highlight w:val="none"/>
        </w:rPr>
      </w:pPr>
      <w:r>
        <w:rPr>
          <w:rFonts w:hint="eastAsia"/>
          <w:spacing w:val="-13"/>
          <w:sz w:val="24"/>
          <w:szCs w:val="24"/>
          <w:highlight w:val="none"/>
        </w:rPr>
        <w:t>根据《中华人民共和国民法典》</w:t>
      </w:r>
      <w:r>
        <w:rPr>
          <w:rFonts w:hint="eastAsia"/>
          <w:sz w:val="24"/>
          <w:szCs w:val="24"/>
          <w:highlight w:val="none"/>
        </w:rPr>
        <w:t>等相关规定，甲乙双方经协商一致订立本合同。</w:t>
      </w:r>
    </w:p>
    <w:p w14:paraId="57702B52">
      <w:pPr>
        <w:pStyle w:val="8"/>
        <w:tabs>
          <w:tab w:val="left" w:pos="1908"/>
        </w:tabs>
        <w:spacing w:line="360" w:lineRule="auto"/>
        <w:ind w:firstLine="440" w:firstLineChars="200"/>
        <w:rPr>
          <w:spacing w:val="-10"/>
          <w:sz w:val="24"/>
          <w:szCs w:val="24"/>
          <w:highlight w:val="none"/>
        </w:rPr>
      </w:pPr>
      <w:r>
        <w:rPr>
          <w:rFonts w:hint="eastAsia"/>
          <w:spacing w:val="-10"/>
          <w:sz w:val="24"/>
          <w:szCs w:val="24"/>
          <w:highlight w:val="none"/>
        </w:rPr>
        <w:t>第一条    砂石余渣基本情况</w:t>
      </w:r>
    </w:p>
    <w:p w14:paraId="053AC5B4">
      <w:pPr>
        <w:pStyle w:val="8"/>
        <w:spacing w:line="360" w:lineRule="auto"/>
        <w:ind w:firstLine="480" w:firstLineChars="200"/>
        <w:rPr>
          <w:sz w:val="24"/>
          <w:szCs w:val="24"/>
          <w:highlight w:val="none"/>
        </w:rPr>
      </w:pPr>
      <w:r>
        <w:rPr>
          <w:rFonts w:hint="eastAsia"/>
          <w:sz w:val="24"/>
          <w:szCs w:val="24"/>
          <w:highlight w:val="none"/>
        </w:rPr>
        <w:t>（一）项目名称：大亚湾霞涌坜下（新材料产业园地块）砂石余渣处置项目（</w:t>
      </w:r>
      <w:r>
        <w:rPr>
          <w:rFonts w:hint="eastAsia"/>
          <w:sz w:val="24"/>
          <w:szCs w:val="24"/>
          <w:highlight w:val="none"/>
          <w:lang w:eastAsia="zh-CN"/>
        </w:rPr>
        <w:t>大亚湾石化拓展区三区重叠区域</w:t>
      </w:r>
      <w:r>
        <w:rPr>
          <w:rFonts w:hint="eastAsia"/>
          <w:sz w:val="24"/>
          <w:szCs w:val="24"/>
          <w:highlight w:val="none"/>
        </w:rPr>
        <w:t>）（下称“项目”或“本项目”）；</w:t>
      </w:r>
    </w:p>
    <w:p w14:paraId="3ABF46DC">
      <w:pPr>
        <w:pStyle w:val="8"/>
        <w:spacing w:line="360" w:lineRule="auto"/>
        <w:ind w:firstLine="480" w:firstLineChars="200"/>
        <w:rPr>
          <w:sz w:val="24"/>
          <w:szCs w:val="24"/>
          <w:highlight w:val="none"/>
        </w:rPr>
      </w:pPr>
      <w:r>
        <w:rPr>
          <w:rFonts w:hint="eastAsia"/>
          <w:sz w:val="24"/>
          <w:szCs w:val="24"/>
          <w:highlight w:val="none"/>
        </w:rPr>
        <w:t>（二）基本情况：本项目地块总面积约45.34万平方米，砂石余渣量约为351.66万立方米，其中三类土20.20万立方米，四类土壤3.20万立方米，极软岩37.36万立方米，软岩48.38万立方米，较软岩184.41万立方米，较硬岩58.11万立方米，设计规划地坪标高为33～47.5m。地块内黑猫股份高端碳材料项目用地约为13万平方米。</w:t>
      </w:r>
    </w:p>
    <w:p w14:paraId="570E2FCD">
      <w:pPr>
        <w:pStyle w:val="8"/>
        <w:spacing w:line="360" w:lineRule="auto"/>
        <w:ind w:firstLine="440" w:firstLineChars="200"/>
        <w:rPr>
          <w:spacing w:val="-10"/>
          <w:sz w:val="24"/>
          <w:szCs w:val="24"/>
          <w:highlight w:val="none"/>
        </w:rPr>
      </w:pPr>
      <w:r>
        <w:rPr>
          <w:rFonts w:hint="eastAsia"/>
          <w:spacing w:val="-10"/>
          <w:sz w:val="24"/>
          <w:szCs w:val="24"/>
          <w:highlight w:val="none"/>
        </w:rPr>
        <w:t xml:space="preserve">第二条    </w:t>
      </w:r>
      <w:bookmarkStart w:id="0" w:name="_Hlk197691787"/>
      <w:r>
        <w:rPr>
          <w:rFonts w:hint="eastAsia"/>
          <w:spacing w:val="-10"/>
          <w:sz w:val="24"/>
          <w:szCs w:val="24"/>
          <w:highlight w:val="none"/>
        </w:rPr>
        <w:t xml:space="preserve">处置期限：自本合同生效之日起 </w:t>
      </w:r>
      <w:r>
        <w:rPr>
          <w:rFonts w:hint="eastAsia"/>
          <w:spacing w:val="-10"/>
          <w:sz w:val="24"/>
          <w:szCs w:val="24"/>
          <w:highlight w:val="none"/>
          <w:lang w:val="en-US" w:eastAsia="zh-CN"/>
        </w:rPr>
        <w:t>36</w:t>
      </w:r>
      <w:r>
        <w:rPr>
          <w:rFonts w:hint="eastAsia"/>
          <w:spacing w:val="-10"/>
          <w:sz w:val="24"/>
          <w:szCs w:val="24"/>
          <w:highlight w:val="none"/>
        </w:rPr>
        <w:t>个月。</w:t>
      </w:r>
      <w:bookmarkEnd w:id="0"/>
    </w:p>
    <w:p w14:paraId="015B69A4">
      <w:pPr>
        <w:pStyle w:val="8"/>
        <w:spacing w:line="360" w:lineRule="auto"/>
        <w:ind w:firstLine="440" w:firstLineChars="200"/>
        <w:rPr>
          <w:spacing w:val="-10"/>
          <w:sz w:val="24"/>
          <w:szCs w:val="24"/>
          <w:highlight w:val="none"/>
        </w:rPr>
      </w:pPr>
      <w:bookmarkStart w:id="1" w:name="_Hlk197691821"/>
      <w:r>
        <w:rPr>
          <w:rFonts w:hint="eastAsia"/>
          <w:spacing w:val="-10"/>
          <w:sz w:val="24"/>
          <w:szCs w:val="24"/>
          <w:highlight w:val="none"/>
        </w:rPr>
        <w:t>合同因解除或期满终止后，双</w:t>
      </w:r>
      <w:r>
        <w:rPr>
          <w:rFonts w:hint="eastAsia"/>
          <w:spacing w:val="-10"/>
          <w:sz w:val="24"/>
          <w:szCs w:val="24"/>
          <w:highlight w:val="none"/>
        </w:rPr>
        <w:t>方应在6个月内办妥场地交接</w:t>
      </w:r>
      <w:r>
        <w:rPr>
          <w:rFonts w:hint="eastAsia"/>
          <w:spacing w:val="-10"/>
          <w:sz w:val="24"/>
          <w:szCs w:val="24"/>
          <w:highlight w:val="none"/>
        </w:rPr>
        <w:t>、价款核定、结算等工作。</w:t>
      </w:r>
      <w:r>
        <w:rPr>
          <w:rFonts w:hint="eastAsia"/>
          <w:spacing w:val="-10"/>
          <w:sz w:val="24"/>
          <w:szCs w:val="24"/>
          <w:highlight w:val="none"/>
          <w:lang w:val="en-US" w:eastAsia="zh-CN"/>
        </w:rPr>
        <w:t>但如甲方或上级主管部门等对场地交接工作等另有要求的按其要求。</w:t>
      </w:r>
    </w:p>
    <w:p w14:paraId="55FE7944">
      <w:pPr>
        <w:pStyle w:val="8"/>
        <w:spacing w:line="360" w:lineRule="auto"/>
        <w:ind w:firstLine="480" w:firstLineChars="200"/>
        <w:rPr>
          <w:sz w:val="24"/>
          <w:szCs w:val="24"/>
          <w:highlight w:val="none"/>
        </w:rPr>
      </w:pPr>
      <w:r>
        <w:rPr>
          <w:rFonts w:hint="eastAsia"/>
          <w:sz w:val="24"/>
          <w:szCs w:val="24"/>
          <w:highlight w:val="none"/>
        </w:rPr>
        <w:t>乙方应首先按照委托人要求的期限完成黑猫股份高端碳材料项目用地砂石余渣处置并移交；其余砂石余渣应在总处置期限内完成。如到期未处置完毕，经甲方同意延期后，乙方应按规定办理相关延期手续，但延期不得超过三个月。如延期三个月期满后仍未处置完毕的，剩余砂石余渣</w:t>
      </w:r>
      <w:r>
        <w:rPr>
          <w:rFonts w:hint="eastAsia"/>
          <w:sz w:val="24"/>
          <w:szCs w:val="24"/>
          <w:highlight w:val="none"/>
          <w:lang w:val="en-US" w:eastAsia="zh-CN"/>
        </w:rPr>
        <w:t>按现状</w:t>
      </w:r>
      <w:r>
        <w:rPr>
          <w:rFonts w:hint="default"/>
          <w:sz w:val="24"/>
          <w:szCs w:val="24"/>
          <w:highlight w:val="none"/>
          <w:lang w:val="en-US"/>
        </w:rPr>
        <w:t>无偿移交给甲方</w:t>
      </w:r>
      <w:r>
        <w:rPr>
          <w:rFonts w:hint="eastAsia"/>
          <w:sz w:val="24"/>
          <w:szCs w:val="24"/>
          <w:highlight w:val="none"/>
          <w:lang w:val="en-US" w:eastAsia="zh-CN"/>
        </w:rPr>
        <w:t>，乙方应同步完成场地平整至设计标高（33～47.5m）并通过甲方验收</w:t>
      </w:r>
      <w:r>
        <w:rPr>
          <w:rFonts w:hint="eastAsia"/>
          <w:sz w:val="24"/>
          <w:szCs w:val="24"/>
          <w:highlight w:val="none"/>
          <w:lang w:eastAsia="zh-CN"/>
        </w:rPr>
        <w:t>。乙方退出时应委托第三方机构出具《场地安全评估报告》并承担费用，未消除安全隐患的，甲方有权从履约保证金中扣除整改费用</w:t>
      </w:r>
      <w:r>
        <w:rPr>
          <w:rFonts w:hint="eastAsia"/>
          <w:sz w:val="24"/>
          <w:szCs w:val="24"/>
          <w:highlight w:val="none"/>
        </w:rPr>
        <w:t>。</w:t>
      </w:r>
    </w:p>
    <w:p w14:paraId="1E7F1739">
      <w:pPr>
        <w:pStyle w:val="8"/>
        <w:spacing w:line="360" w:lineRule="auto"/>
        <w:ind w:firstLine="480" w:firstLineChars="200"/>
        <w:rPr>
          <w:spacing w:val="-10"/>
          <w:sz w:val="24"/>
          <w:szCs w:val="24"/>
          <w:highlight w:val="none"/>
        </w:rPr>
      </w:pPr>
      <w:r>
        <w:rPr>
          <w:rFonts w:hint="eastAsia"/>
          <w:sz w:val="24"/>
          <w:szCs w:val="24"/>
          <w:highlight w:val="none"/>
        </w:rPr>
        <w:t>处置期限到期或该场地内处置的砂石余渣提前处置完毕，或本合同因乙方违约或者因砂石余渣处置所依据的客观情况发生重大变化导致提前解除的，或者由于土地使用、工作范围变化及其他各种原因经甲乙双方协商一致进行合同解除或终止的，乙方应退出项目场地并妥善处理遗留的设施设备，确保消除安全隐患。逾期仍未履行退出义务的，视为乙方自愿放弃在项目范围内的所有</w:t>
      </w:r>
      <w:r>
        <w:rPr>
          <w:rFonts w:hint="eastAsia"/>
          <w:sz w:val="24"/>
          <w:szCs w:val="24"/>
          <w:highlight w:val="none"/>
          <w:lang w:val="en-US" w:eastAsia="zh-CN"/>
        </w:rPr>
        <w:t>物品、</w:t>
      </w:r>
      <w:r>
        <w:rPr>
          <w:rFonts w:hint="eastAsia"/>
          <w:sz w:val="24"/>
          <w:szCs w:val="24"/>
          <w:highlight w:val="none"/>
        </w:rPr>
        <w:t>设施设备</w:t>
      </w:r>
      <w:r>
        <w:rPr>
          <w:rFonts w:hint="eastAsia"/>
          <w:sz w:val="24"/>
          <w:szCs w:val="24"/>
          <w:highlight w:val="none"/>
          <w:lang w:val="en-US" w:eastAsia="zh-CN"/>
        </w:rPr>
        <w:t>等</w:t>
      </w:r>
      <w:r>
        <w:rPr>
          <w:rFonts w:hint="eastAsia"/>
          <w:sz w:val="24"/>
          <w:szCs w:val="24"/>
          <w:highlight w:val="none"/>
        </w:rPr>
        <w:t>，甲方有权自行处理，甲方按照约定或者法律规定收回砂石余渣，甲方或者其他政府部门对乙方所遗留的</w:t>
      </w:r>
      <w:r>
        <w:rPr>
          <w:rFonts w:hint="eastAsia"/>
          <w:sz w:val="24"/>
          <w:szCs w:val="24"/>
          <w:highlight w:val="none"/>
          <w:lang w:val="en-US" w:eastAsia="zh-CN"/>
        </w:rPr>
        <w:t>物品</w:t>
      </w:r>
      <w:r>
        <w:rPr>
          <w:rFonts w:hint="eastAsia"/>
          <w:sz w:val="24"/>
          <w:szCs w:val="24"/>
          <w:highlight w:val="none"/>
        </w:rPr>
        <w:t>、设施设备等无需予以补偿。</w:t>
      </w:r>
    </w:p>
    <w:bookmarkEnd w:id="1"/>
    <w:p w14:paraId="0CAAA04E">
      <w:pPr>
        <w:pStyle w:val="8"/>
        <w:tabs>
          <w:tab w:val="left" w:pos="1908"/>
        </w:tabs>
        <w:spacing w:line="360" w:lineRule="auto"/>
        <w:ind w:firstLine="440" w:firstLineChars="200"/>
        <w:rPr>
          <w:spacing w:val="-10"/>
          <w:sz w:val="24"/>
          <w:szCs w:val="24"/>
          <w:highlight w:val="none"/>
        </w:rPr>
      </w:pPr>
      <w:r>
        <w:rPr>
          <w:rFonts w:hint="eastAsia"/>
          <w:spacing w:val="-10"/>
          <w:sz w:val="24"/>
          <w:szCs w:val="24"/>
          <w:highlight w:val="none"/>
        </w:rPr>
        <w:t xml:space="preserve">第三条   </w:t>
      </w:r>
      <w:bookmarkStart w:id="2" w:name="_Hlk197691996"/>
      <w:r>
        <w:rPr>
          <w:rFonts w:hint="eastAsia"/>
          <w:spacing w:val="-10"/>
          <w:sz w:val="24"/>
          <w:szCs w:val="24"/>
          <w:highlight w:val="none"/>
        </w:rPr>
        <w:t xml:space="preserve"> 砂石余渣</w:t>
      </w:r>
      <w:r>
        <w:rPr>
          <w:rFonts w:hint="eastAsia"/>
          <w:spacing w:val="-10"/>
          <w:sz w:val="24"/>
          <w:szCs w:val="24"/>
          <w:highlight w:val="none"/>
          <w:lang w:val="en-US" w:eastAsia="zh-CN"/>
        </w:rPr>
        <w:t>处置</w:t>
      </w:r>
      <w:r>
        <w:rPr>
          <w:rFonts w:hint="eastAsia"/>
          <w:spacing w:val="-10"/>
          <w:sz w:val="24"/>
          <w:szCs w:val="24"/>
          <w:highlight w:val="none"/>
        </w:rPr>
        <w:t>款等款项的支付</w:t>
      </w:r>
    </w:p>
    <w:p w14:paraId="08D48577">
      <w:pPr>
        <w:pStyle w:val="8"/>
        <w:tabs>
          <w:tab w:val="left" w:pos="1908"/>
        </w:tabs>
        <w:spacing w:line="360" w:lineRule="auto"/>
        <w:ind w:firstLine="440" w:firstLineChars="200"/>
        <w:rPr>
          <w:spacing w:val="-10"/>
          <w:sz w:val="24"/>
          <w:szCs w:val="24"/>
          <w:highlight w:val="none"/>
        </w:rPr>
      </w:pPr>
      <w:r>
        <w:rPr>
          <w:rFonts w:hint="eastAsia"/>
          <w:spacing w:val="-10"/>
          <w:sz w:val="24"/>
          <w:szCs w:val="24"/>
          <w:highlight w:val="none"/>
        </w:rPr>
        <w:t>（一）砂石余渣</w:t>
      </w:r>
      <w:r>
        <w:rPr>
          <w:rFonts w:hint="eastAsia"/>
          <w:spacing w:val="-10"/>
          <w:sz w:val="24"/>
          <w:szCs w:val="24"/>
          <w:highlight w:val="none"/>
          <w:lang w:eastAsia="zh-CN"/>
        </w:rPr>
        <w:t>处置</w:t>
      </w:r>
      <w:r>
        <w:rPr>
          <w:rFonts w:hint="eastAsia"/>
          <w:spacing w:val="-10"/>
          <w:sz w:val="24"/>
          <w:szCs w:val="24"/>
          <w:highlight w:val="none"/>
        </w:rPr>
        <w:t>款</w:t>
      </w:r>
    </w:p>
    <w:p w14:paraId="5C10D163">
      <w:pPr>
        <w:pStyle w:val="8"/>
        <w:spacing w:line="360" w:lineRule="auto"/>
        <w:ind w:firstLine="480" w:firstLineChars="200"/>
        <w:rPr>
          <w:sz w:val="24"/>
          <w:szCs w:val="24"/>
          <w:highlight w:val="none"/>
        </w:rPr>
      </w:pPr>
      <w:r>
        <w:rPr>
          <w:rFonts w:hint="eastAsia"/>
          <w:sz w:val="24"/>
          <w:szCs w:val="24"/>
          <w:highlight w:val="none"/>
        </w:rPr>
        <w:t>1.本项目砂石余渣竞得</w:t>
      </w:r>
      <w:r>
        <w:rPr>
          <w:rFonts w:hint="eastAsia"/>
          <w:sz w:val="24"/>
          <w:szCs w:val="24"/>
          <w:highlight w:val="none"/>
          <w:lang w:eastAsia="zh-CN"/>
        </w:rPr>
        <w:t>处置</w:t>
      </w:r>
      <w:r>
        <w:rPr>
          <w:rFonts w:hint="eastAsia"/>
          <w:sz w:val="24"/>
          <w:szCs w:val="24"/>
          <w:highlight w:val="none"/>
        </w:rPr>
        <w:t>款为含税人民币：</w:t>
      </w:r>
      <w:r>
        <w:rPr>
          <w:rFonts w:hint="eastAsia"/>
          <w:sz w:val="24"/>
          <w:szCs w:val="24"/>
          <w:highlight w:val="none"/>
          <w:u w:val="single"/>
        </w:rPr>
        <w:t xml:space="preserve">         </w:t>
      </w:r>
      <w:r>
        <w:rPr>
          <w:rFonts w:hint="eastAsia"/>
          <w:sz w:val="24"/>
          <w:szCs w:val="24"/>
          <w:highlight w:val="none"/>
        </w:rPr>
        <w:t>元（大写：    ）、其中单价为</w:t>
      </w:r>
      <w:r>
        <w:rPr>
          <w:rFonts w:hint="eastAsia"/>
          <w:sz w:val="24"/>
          <w:szCs w:val="24"/>
          <w:highlight w:val="none"/>
          <w:u w:val="single"/>
        </w:rPr>
        <w:t xml:space="preserve">       </w:t>
      </w:r>
      <w:r>
        <w:rPr>
          <w:rFonts w:hint="eastAsia"/>
          <w:sz w:val="24"/>
          <w:szCs w:val="24"/>
          <w:highlight w:val="none"/>
        </w:rPr>
        <w:t>元/m³，税率13%，其中未税价款为人民币：    元，税率13%。合同增值税额按业务发生时国家政策规定增值税计算，若因国家政策导致税率调整，合同价及支付款项也随之调整，其计算公式为：税率调整后含税价款=税率调整前含税价款/（1+旧税率）*(1+新税率）。</w:t>
      </w:r>
    </w:p>
    <w:p w14:paraId="0C3DB4C9">
      <w:pPr>
        <w:pStyle w:val="8"/>
        <w:spacing w:line="360" w:lineRule="auto"/>
        <w:ind w:firstLine="476" w:firstLineChars="200"/>
        <w:rPr>
          <w:spacing w:val="-10"/>
          <w:sz w:val="24"/>
          <w:szCs w:val="24"/>
          <w:highlight w:val="none"/>
        </w:rPr>
      </w:pPr>
      <w:r>
        <w:rPr>
          <w:rFonts w:hint="eastAsia"/>
          <w:spacing w:val="-1"/>
          <w:sz w:val="24"/>
          <w:szCs w:val="24"/>
          <w:highlight w:val="none"/>
        </w:rPr>
        <w:t>2.</w:t>
      </w:r>
      <w:r>
        <w:rPr>
          <w:rFonts w:hint="eastAsia"/>
          <w:spacing w:val="-10"/>
          <w:sz w:val="24"/>
          <w:szCs w:val="24"/>
          <w:highlight w:val="none"/>
        </w:rPr>
        <w:t>支付方式和时间</w:t>
      </w:r>
    </w:p>
    <w:p w14:paraId="364D3320">
      <w:pPr>
        <w:pStyle w:val="8"/>
        <w:spacing w:line="360" w:lineRule="auto"/>
        <w:ind w:firstLine="440" w:firstLineChars="200"/>
        <w:rPr>
          <w:spacing w:val="-10"/>
          <w:sz w:val="24"/>
          <w:szCs w:val="24"/>
          <w:highlight w:val="none"/>
        </w:rPr>
      </w:pPr>
      <w:r>
        <w:rPr>
          <w:rFonts w:hint="eastAsia"/>
          <w:spacing w:val="-10"/>
          <w:sz w:val="24"/>
          <w:szCs w:val="24"/>
          <w:highlight w:val="none"/>
        </w:rPr>
        <w:t>（1）定金：</w:t>
      </w:r>
      <w:r>
        <w:rPr>
          <w:rFonts w:hint="eastAsia"/>
          <w:spacing w:val="-10"/>
          <w:sz w:val="24"/>
          <w:szCs w:val="24"/>
          <w:highlight w:val="none"/>
          <w:lang w:eastAsia="zh-CN"/>
        </w:rPr>
        <w:t>乙方</w:t>
      </w:r>
      <w:r>
        <w:rPr>
          <w:rFonts w:hint="eastAsia"/>
          <w:spacing w:val="-10"/>
          <w:sz w:val="24"/>
          <w:szCs w:val="24"/>
          <w:highlight w:val="none"/>
        </w:rPr>
        <w:t>竞得该项</w:t>
      </w:r>
      <w:r>
        <w:rPr>
          <w:rFonts w:hint="eastAsia"/>
          <w:spacing w:val="-10"/>
          <w:sz w:val="24"/>
          <w:szCs w:val="24"/>
          <w:highlight w:val="none"/>
          <w:lang w:val="en-US" w:eastAsia="zh-CN"/>
        </w:rPr>
        <w:t>目</w:t>
      </w:r>
      <w:r>
        <w:rPr>
          <w:rFonts w:hint="eastAsia"/>
          <w:spacing w:val="-10"/>
          <w:sz w:val="24"/>
          <w:szCs w:val="24"/>
          <w:highlight w:val="none"/>
        </w:rPr>
        <w:t>之日起7个工作日内将定金</w:t>
      </w:r>
      <w:r>
        <w:rPr>
          <w:rFonts w:hint="eastAsia"/>
          <w:spacing w:val="-10"/>
          <w:sz w:val="24"/>
          <w:szCs w:val="24"/>
          <w:highlight w:val="none"/>
          <w:lang w:val="en-US" w:eastAsia="zh-CN"/>
        </w:rPr>
        <w:t>7</w:t>
      </w:r>
      <w:r>
        <w:rPr>
          <w:rFonts w:hint="eastAsia"/>
          <w:spacing w:val="-10"/>
          <w:sz w:val="24"/>
          <w:szCs w:val="24"/>
          <w:highlight w:val="none"/>
        </w:rPr>
        <w:t>00万元一次性转入</w:t>
      </w:r>
      <w:r>
        <w:rPr>
          <w:rFonts w:hint="eastAsia"/>
          <w:spacing w:val="-10"/>
          <w:sz w:val="24"/>
          <w:szCs w:val="24"/>
          <w:highlight w:val="none"/>
          <w:lang w:eastAsia="zh-CN"/>
        </w:rPr>
        <w:t>甲方</w:t>
      </w:r>
      <w:r>
        <w:rPr>
          <w:rFonts w:hint="eastAsia"/>
          <w:spacing w:val="-10"/>
          <w:sz w:val="24"/>
          <w:szCs w:val="24"/>
          <w:highlight w:val="none"/>
        </w:rPr>
        <w:t>账户，定金在</w:t>
      </w:r>
      <w:r>
        <w:rPr>
          <w:rFonts w:hint="eastAsia"/>
          <w:spacing w:val="-10"/>
          <w:sz w:val="24"/>
          <w:szCs w:val="24"/>
          <w:highlight w:val="none"/>
          <w:lang w:eastAsia="zh-CN"/>
        </w:rPr>
        <w:t>乙方</w:t>
      </w:r>
      <w:r>
        <w:rPr>
          <w:rFonts w:hint="eastAsia"/>
          <w:spacing w:val="-10"/>
          <w:sz w:val="24"/>
          <w:szCs w:val="24"/>
          <w:highlight w:val="none"/>
        </w:rPr>
        <w:t>按合同约定付清全部款项后无息退还，或经双方协商后用于抵扣尾款。</w:t>
      </w:r>
    </w:p>
    <w:p w14:paraId="4AAF1DA1">
      <w:pPr>
        <w:pStyle w:val="8"/>
        <w:spacing w:line="360" w:lineRule="auto"/>
        <w:ind w:firstLine="440" w:firstLineChars="200"/>
        <w:rPr>
          <w:spacing w:val="-10"/>
          <w:sz w:val="24"/>
          <w:szCs w:val="24"/>
          <w:highlight w:val="none"/>
        </w:rPr>
      </w:pPr>
      <w:r>
        <w:rPr>
          <w:rFonts w:hint="eastAsia"/>
          <w:spacing w:val="-10"/>
          <w:sz w:val="24"/>
          <w:szCs w:val="24"/>
          <w:highlight w:val="none"/>
        </w:rPr>
        <w:t>（2）</w:t>
      </w:r>
      <w:r>
        <w:rPr>
          <w:rFonts w:hint="eastAsia"/>
          <w:spacing w:val="-10"/>
          <w:sz w:val="24"/>
          <w:szCs w:val="24"/>
          <w:highlight w:val="none"/>
          <w:lang w:eastAsia="zh-CN"/>
        </w:rPr>
        <w:t>处置</w:t>
      </w:r>
      <w:r>
        <w:rPr>
          <w:rFonts w:hint="eastAsia"/>
          <w:spacing w:val="-10"/>
          <w:sz w:val="24"/>
          <w:szCs w:val="24"/>
          <w:highlight w:val="none"/>
        </w:rPr>
        <w:t>款支付</w:t>
      </w:r>
    </w:p>
    <w:p w14:paraId="544E41A8">
      <w:pPr>
        <w:pStyle w:val="8"/>
        <w:spacing w:line="360" w:lineRule="auto"/>
        <w:ind w:firstLine="440" w:firstLineChars="200"/>
        <w:rPr>
          <w:rFonts w:hint="eastAsia"/>
          <w:spacing w:val="-10"/>
          <w:sz w:val="24"/>
          <w:szCs w:val="24"/>
          <w:highlight w:val="none"/>
        </w:rPr>
      </w:pPr>
      <w:r>
        <w:rPr>
          <w:rFonts w:hint="eastAsia"/>
          <w:spacing w:val="-10"/>
          <w:sz w:val="24"/>
          <w:szCs w:val="24"/>
          <w:highlight w:val="none"/>
          <w:lang w:eastAsia="zh-CN"/>
        </w:rPr>
        <w:t>乙方竞得</w:t>
      </w:r>
      <w:r>
        <w:rPr>
          <w:rFonts w:hint="eastAsia"/>
          <w:spacing w:val="-10"/>
          <w:sz w:val="24"/>
          <w:szCs w:val="24"/>
          <w:highlight w:val="none"/>
        </w:rPr>
        <w:t>该项</w:t>
      </w:r>
      <w:r>
        <w:rPr>
          <w:rFonts w:hint="eastAsia"/>
          <w:spacing w:val="-10"/>
          <w:sz w:val="24"/>
          <w:szCs w:val="24"/>
          <w:highlight w:val="none"/>
          <w:lang w:val="en-US" w:eastAsia="zh-CN"/>
        </w:rPr>
        <w:t>目</w:t>
      </w:r>
      <w:r>
        <w:rPr>
          <w:rFonts w:hint="eastAsia"/>
          <w:spacing w:val="-10"/>
          <w:sz w:val="24"/>
          <w:szCs w:val="24"/>
          <w:highlight w:val="none"/>
          <w:lang w:eastAsia="zh-CN"/>
        </w:rPr>
        <w:t>之日起</w:t>
      </w:r>
      <w:r>
        <w:rPr>
          <w:rFonts w:hint="eastAsia"/>
          <w:spacing w:val="-10"/>
          <w:sz w:val="24"/>
          <w:szCs w:val="24"/>
          <w:highlight w:val="none"/>
          <w:lang w:val="en-US" w:eastAsia="zh-CN"/>
        </w:rPr>
        <w:t>7个工作日内向甲方</w:t>
      </w:r>
      <w:r>
        <w:rPr>
          <w:rFonts w:hint="eastAsia"/>
          <w:spacing w:val="-10"/>
          <w:sz w:val="24"/>
          <w:szCs w:val="24"/>
          <w:highlight w:val="none"/>
        </w:rPr>
        <w:t>支付</w:t>
      </w:r>
      <w:r>
        <w:rPr>
          <w:rFonts w:hint="eastAsia"/>
          <w:spacing w:val="-10"/>
          <w:sz w:val="24"/>
          <w:szCs w:val="24"/>
          <w:highlight w:val="none"/>
          <w:lang w:eastAsia="zh-CN"/>
        </w:rPr>
        <w:t>成交价即</w:t>
      </w:r>
      <w:r>
        <w:rPr>
          <w:rFonts w:hint="eastAsia"/>
          <w:spacing w:val="-10"/>
          <w:sz w:val="24"/>
          <w:szCs w:val="24"/>
          <w:highlight w:val="none"/>
        </w:rPr>
        <w:t>砂石余渣</w:t>
      </w:r>
      <w:r>
        <w:rPr>
          <w:rFonts w:hint="eastAsia"/>
          <w:spacing w:val="-10"/>
          <w:sz w:val="24"/>
          <w:szCs w:val="24"/>
          <w:highlight w:val="none"/>
          <w:lang w:eastAsia="zh-CN"/>
        </w:rPr>
        <w:t>处置</w:t>
      </w:r>
      <w:r>
        <w:rPr>
          <w:rFonts w:hint="eastAsia"/>
          <w:spacing w:val="-10"/>
          <w:sz w:val="24"/>
          <w:szCs w:val="24"/>
          <w:highlight w:val="none"/>
        </w:rPr>
        <w:t>款的15%作为首付款；</w:t>
      </w:r>
    </w:p>
    <w:p w14:paraId="02856AF6">
      <w:pPr>
        <w:pStyle w:val="8"/>
        <w:spacing w:line="360" w:lineRule="auto"/>
        <w:ind w:firstLine="440" w:firstLineChars="200"/>
        <w:rPr>
          <w:spacing w:val="-10"/>
          <w:sz w:val="24"/>
          <w:szCs w:val="24"/>
          <w:highlight w:val="none"/>
        </w:rPr>
      </w:pPr>
      <w:r>
        <w:rPr>
          <w:rFonts w:hint="eastAsia"/>
          <w:spacing w:val="-10"/>
          <w:sz w:val="24"/>
          <w:szCs w:val="24"/>
          <w:highlight w:val="none"/>
          <w:lang w:eastAsia="zh-CN"/>
        </w:rPr>
        <w:t>乙方</w:t>
      </w:r>
      <w:r>
        <w:rPr>
          <w:rFonts w:hint="eastAsia"/>
          <w:spacing w:val="-10"/>
          <w:sz w:val="24"/>
          <w:szCs w:val="24"/>
          <w:highlight w:val="none"/>
        </w:rPr>
        <w:t>应在《</w:t>
      </w:r>
      <w:r>
        <w:rPr>
          <w:rFonts w:hint="eastAsia"/>
          <w:spacing w:val="-10"/>
          <w:sz w:val="24"/>
          <w:szCs w:val="24"/>
          <w:highlight w:val="none"/>
          <w:lang w:eastAsia="zh-CN"/>
        </w:rPr>
        <w:t>处置合同</w:t>
      </w:r>
      <w:r>
        <w:rPr>
          <w:rFonts w:hint="eastAsia"/>
          <w:spacing w:val="-10"/>
          <w:sz w:val="24"/>
          <w:szCs w:val="24"/>
          <w:highlight w:val="none"/>
        </w:rPr>
        <w:t>》签订后</w:t>
      </w:r>
      <w:r>
        <w:rPr>
          <w:rFonts w:hint="eastAsia"/>
          <w:spacing w:val="-10"/>
          <w:sz w:val="24"/>
          <w:szCs w:val="24"/>
          <w:highlight w:val="none"/>
          <w:lang w:val="en-US" w:eastAsia="zh-CN"/>
        </w:rPr>
        <w:t>18</w:t>
      </w:r>
      <w:r>
        <w:rPr>
          <w:rFonts w:hint="eastAsia"/>
          <w:spacing w:val="-10"/>
          <w:sz w:val="24"/>
          <w:szCs w:val="24"/>
          <w:highlight w:val="none"/>
        </w:rPr>
        <w:t>个月之内将本项目砂石余渣</w:t>
      </w:r>
      <w:r>
        <w:rPr>
          <w:rFonts w:hint="eastAsia"/>
          <w:spacing w:val="-10"/>
          <w:sz w:val="24"/>
          <w:szCs w:val="24"/>
          <w:highlight w:val="none"/>
          <w:lang w:eastAsia="zh-CN"/>
        </w:rPr>
        <w:t>处置</w:t>
      </w:r>
      <w:r>
        <w:rPr>
          <w:rFonts w:hint="eastAsia"/>
          <w:spacing w:val="-10"/>
          <w:sz w:val="24"/>
          <w:szCs w:val="24"/>
          <w:highlight w:val="none"/>
        </w:rPr>
        <w:t>款全部付清。</w:t>
      </w:r>
      <w:r>
        <w:rPr>
          <w:rFonts w:hint="eastAsia"/>
          <w:spacing w:val="-10"/>
          <w:sz w:val="24"/>
          <w:szCs w:val="24"/>
          <w:highlight w:val="none"/>
          <w:lang w:eastAsia="zh-CN"/>
        </w:rPr>
        <w:t>乙方</w:t>
      </w:r>
      <w:r>
        <w:rPr>
          <w:rFonts w:hint="eastAsia"/>
          <w:spacing w:val="-10"/>
          <w:sz w:val="24"/>
          <w:szCs w:val="24"/>
          <w:highlight w:val="none"/>
        </w:rPr>
        <w:t>于《</w:t>
      </w:r>
      <w:r>
        <w:rPr>
          <w:rFonts w:hint="eastAsia"/>
          <w:spacing w:val="-10"/>
          <w:sz w:val="24"/>
          <w:szCs w:val="24"/>
          <w:highlight w:val="none"/>
          <w:lang w:eastAsia="zh-CN"/>
        </w:rPr>
        <w:t>处置合同</w:t>
      </w:r>
      <w:r>
        <w:rPr>
          <w:rFonts w:hint="eastAsia"/>
          <w:spacing w:val="-10"/>
          <w:sz w:val="24"/>
          <w:szCs w:val="24"/>
          <w:highlight w:val="none"/>
        </w:rPr>
        <w:t>》签订之日后第</w:t>
      </w:r>
      <w:r>
        <w:rPr>
          <w:rFonts w:hint="eastAsia"/>
          <w:spacing w:val="-10"/>
          <w:sz w:val="24"/>
          <w:szCs w:val="24"/>
          <w:highlight w:val="none"/>
          <w:lang w:val="en-US" w:eastAsia="zh-CN"/>
        </w:rPr>
        <w:t>4</w:t>
      </w:r>
      <w:r>
        <w:rPr>
          <w:rFonts w:hint="eastAsia"/>
          <w:spacing w:val="-10"/>
          <w:sz w:val="24"/>
          <w:szCs w:val="24"/>
          <w:highlight w:val="none"/>
        </w:rPr>
        <w:t>个月起按月支付当月应付</w:t>
      </w:r>
      <w:r>
        <w:rPr>
          <w:rFonts w:hint="eastAsia"/>
          <w:spacing w:val="-10"/>
          <w:sz w:val="24"/>
          <w:szCs w:val="24"/>
          <w:highlight w:val="none"/>
          <w:lang w:eastAsia="zh-CN"/>
        </w:rPr>
        <w:t>处置</w:t>
      </w:r>
      <w:r>
        <w:rPr>
          <w:rFonts w:hint="eastAsia"/>
          <w:spacing w:val="-10"/>
          <w:sz w:val="24"/>
          <w:szCs w:val="24"/>
          <w:highlight w:val="none"/>
        </w:rPr>
        <w:t>款，在每个月初5个工作日内付清当月应付款项给甲方，当月应付款项为固定费用（按竞得总价*85%/</w:t>
      </w:r>
      <w:r>
        <w:rPr>
          <w:rFonts w:hint="eastAsia"/>
          <w:spacing w:val="-10"/>
          <w:sz w:val="24"/>
          <w:szCs w:val="24"/>
          <w:highlight w:val="none"/>
          <w:lang w:val="en-US" w:eastAsia="zh-CN"/>
        </w:rPr>
        <w:t>15</w:t>
      </w:r>
      <w:r>
        <w:rPr>
          <w:rFonts w:hint="eastAsia"/>
          <w:spacing w:val="-10"/>
          <w:sz w:val="24"/>
          <w:szCs w:val="24"/>
          <w:highlight w:val="none"/>
        </w:rPr>
        <w:t>个月计取）。</w:t>
      </w:r>
    </w:p>
    <w:p w14:paraId="536509C7">
      <w:pPr>
        <w:pStyle w:val="8"/>
        <w:spacing w:line="360" w:lineRule="auto"/>
        <w:ind w:firstLine="440" w:firstLineChars="200"/>
        <w:rPr>
          <w:spacing w:val="-10"/>
          <w:sz w:val="24"/>
          <w:szCs w:val="24"/>
          <w:highlight w:val="none"/>
        </w:rPr>
      </w:pPr>
      <w:r>
        <w:rPr>
          <w:rFonts w:hint="eastAsia"/>
          <w:spacing w:val="-10"/>
          <w:sz w:val="24"/>
          <w:szCs w:val="24"/>
          <w:highlight w:val="none"/>
        </w:rPr>
        <w:t>（3）调价款支付：如触发本条第（三）项调价机制的，双方应据实在每季度调价结算后30日内支付当期调价款项。</w:t>
      </w:r>
    </w:p>
    <w:p w14:paraId="6634E9CA">
      <w:pPr>
        <w:pStyle w:val="8"/>
        <w:spacing w:line="360" w:lineRule="auto"/>
        <w:ind w:firstLine="440" w:firstLineChars="200"/>
        <w:rPr>
          <w:spacing w:val="-10"/>
          <w:sz w:val="24"/>
          <w:szCs w:val="24"/>
          <w:highlight w:val="none"/>
        </w:rPr>
      </w:pPr>
      <w:r>
        <w:rPr>
          <w:rFonts w:hint="eastAsia"/>
          <w:spacing w:val="-10"/>
          <w:sz w:val="24"/>
          <w:szCs w:val="24"/>
          <w:highlight w:val="none"/>
        </w:rPr>
        <w:t>（4）如乙方提前处置完毕砂石余渣，且处置期在本合同签订之日后的36个月内，则乙方应在砂石余渣处置完成次月一次性付清，并结清调价款（如有）。</w:t>
      </w:r>
    </w:p>
    <w:p w14:paraId="16F9DAB4">
      <w:pPr>
        <w:pStyle w:val="8"/>
        <w:spacing w:line="360" w:lineRule="auto"/>
        <w:ind w:left="420" w:leftChars="200"/>
        <w:rPr>
          <w:spacing w:val="-10"/>
          <w:sz w:val="24"/>
          <w:szCs w:val="24"/>
          <w:highlight w:val="none"/>
        </w:rPr>
      </w:pPr>
      <w:r>
        <w:rPr>
          <w:rFonts w:hint="eastAsia"/>
          <w:spacing w:val="-10"/>
          <w:sz w:val="24"/>
          <w:szCs w:val="24"/>
          <w:highlight w:val="none"/>
        </w:rPr>
        <w:t>（二）前期投入费用</w:t>
      </w:r>
    </w:p>
    <w:p w14:paraId="0A47E996">
      <w:pPr>
        <w:pStyle w:val="8"/>
        <w:spacing w:line="360" w:lineRule="auto"/>
        <w:ind w:firstLine="480" w:firstLineChars="200"/>
        <w:rPr>
          <w:sz w:val="24"/>
          <w:szCs w:val="24"/>
          <w:highlight w:val="none"/>
        </w:rPr>
      </w:pPr>
      <w:r>
        <w:rPr>
          <w:rFonts w:hint="eastAsia"/>
          <w:sz w:val="24"/>
          <w:szCs w:val="24"/>
          <w:highlight w:val="none"/>
        </w:rPr>
        <w:t>甲方在项目实施前已开展项目勘察与测量、评估、项目技术咨询等工作，产生费用</w:t>
      </w:r>
      <w:r>
        <w:rPr>
          <w:rFonts w:hint="eastAsia"/>
          <w:sz w:val="24"/>
          <w:szCs w:val="24"/>
          <w:highlight w:val="none"/>
          <w:lang w:eastAsia="zh-CN"/>
        </w:rPr>
        <w:t>约</w:t>
      </w:r>
      <w:r>
        <w:rPr>
          <w:rFonts w:hint="eastAsia"/>
          <w:sz w:val="24"/>
          <w:szCs w:val="24"/>
          <w:highlight w:val="none"/>
          <w:lang w:val="en-US" w:eastAsia="zh-CN"/>
        </w:rPr>
        <w:t>150万元</w:t>
      </w:r>
      <w:r>
        <w:rPr>
          <w:rFonts w:hint="eastAsia"/>
          <w:sz w:val="24"/>
          <w:szCs w:val="24"/>
          <w:highlight w:val="none"/>
        </w:rPr>
        <w:t>（最终支付金额以甲方审定为准）由乙方承担，乙方在本合同签订后30日内按甲方审定金额一次性转入甲方指定账户。</w:t>
      </w:r>
    </w:p>
    <w:p w14:paraId="03D8C9D5">
      <w:pPr>
        <w:pStyle w:val="8"/>
        <w:spacing w:line="360" w:lineRule="auto"/>
        <w:ind w:left="420" w:leftChars="200"/>
        <w:rPr>
          <w:rFonts w:ascii="宋体" w:hAnsi="宋体" w:cs="宋体"/>
          <w:spacing w:val="-10"/>
          <w:sz w:val="24"/>
          <w:szCs w:val="24"/>
          <w:highlight w:val="none"/>
        </w:rPr>
      </w:pPr>
      <w:r>
        <w:rPr>
          <w:rFonts w:hint="eastAsia"/>
          <w:spacing w:val="-10"/>
          <w:sz w:val="24"/>
          <w:szCs w:val="24"/>
          <w:highlight w:val="none"/>
        </w:rPr>
        <w:t>（三）调价机制和调价款</w:t>
      </w:r>
    </w:p>
    <w:p w14:paraId="2EC3958B">
      <w:pPr>
        <w:pStyle w:val="8"/>
        <w:spacing w:line="360" w:lineRule="auto"/>
        <w:ind w:left="420" w:leftChars="200"/>
        <w:rPr>
          <w:rFonts w:ascii="宋体" w:hAnsi="宋体" w:cs="宋体"/>
          <w:spacing w:val="-10"/>
          <w:sz w:val="24"/>
          <w:szCs w:val="24"/>
          <w:highlight w:val="none"/>
        </w:rPr>
      </w:pPr>
      <w:r>
        <w:rPr>
          <w:rFonts w:hint="eastAsia"/>
          <w:spacing w:val="-10"/>
          <w:sz w:val="24"/>
          <w:szCs w:val="24"/>
          <w:highlight w:val="none"/>
        </w:rPr>
        <w:t>调价机制以一个自然季度（即</w:t>
      </w:r>
      <w:r>
        <w:rPr>
          <w:spacing w:val="-10"/>
          <w:sz w:val="24"/>
          <w:szCs w:val="24"/>
          <w:highlight w:val="none"/>
        </w:rPr>
        <w:t>1</w:t>
      </w:r>
      <w:r>
        <w:rPr>
          <w:rFonts w:hint="eastAsia"/>
          <w:spacing w:val="-10"/>
          <w:sz w:val="24"/>
          <w:szCs w:val="24"/>
          <w:highlight w:val="none"/>
        </w:rPr>
        <w:t>、</w:t>
      </w:r>
      <w:r>
        <w:rPr>
          <w:spacing w:val="-10"/>
          <w:sz w:val="24"/>
          <w:szCs w:val="24"/>
          <w:highlight w:val="none"/>
        </w:rPr>
        <w:t>2</w:t>
      </w:r>
      <w:r>
        <w:rPr>
          <w:rFonts w:hint="eastAsia"/>
          <w:spacing w:val="-10"/>
          <w:sz w:val="24"/>
          <w:szCs w:val="24"/>
          <w:highlight w:val="none"/>
        </w:rPr>
        <w:t>、</w:t>
      </w:r>
      <w:r>
        <w:rPr>
          <w:spacing w:val="-10"/>
          <w:sz w:val="24"/>
          <w:szCs w:val="24"/>
          <w:highlight w:val="none"/>
        </w:rPr>
        <w:t>3</w:t>
      </w:r>
      <w:r>
        <w:rPr>
          <w:rFonts w:hint="eastAsia"/>
          <w:spacing w:val="-10"/>
          <w:sz w:val="24"/>
          <w:szCs w:val="24"/>
          <w:highlight w:val="none"/>
        </w:rPr>
        <w:t>月为第一季度，以此类推）为周期进行调价结算支付，本项目所处置的砂石余渣在处置期内均适用以基准价与基期价对比的方式按以下约定进行调价，另行计算调价款：</w:t>
      </w:r>
    </w:p>
    <w:p w14:paraId="204CD2EF">
      <w:pPr>
        <w:pStyle w:val="8"/>
        <w:spacing w:line="360" w:lineRule="auto"/>
        <w:ind w:left="420" w:leftChars="200"/>
        <w:rPr>
          <w:rFonts w:ascii="宋体" w:hAnsi="宋体" w:cs="宋体"/>
          <w:spacing w:val="-10"/>
          <w:sz w:val="24"/>
          <w:szCs w:val="24"/>
          <w:highlight w:val="none"/>
        </w:rPr>
      </w:pPr>
      <w:r>
        <w:rPr>
          <w:spacing w:val="-10"/>
          <w:sz w:val="24"/>
          <w:szCs w:val="24"/>
          <w:highlight w:val="none"/>
        </w:rPr>
        <w:t>1.</w:t>
      </w:r>
      <w:r>
        <w:rPr>
          <w:rFonts w:hint="eastAsia"/>
          <w:spacing w:val="-10"/>
          <w:sz w:val="24"/>
          <w:szCs w:val="24"/>
          <w:highlight w:val="none"/>
        </w:rPr>
        <w:t>基期价：以砂石余渣价格评估当月（即</w:t>
      </w:r>
      <w:r>
        <w:rPr>
          <w:spacing w:val="-10"/>
          <w:sz w:val="24"/>
          <w:szCs w:val="24"/>
          <w:highlight w:val="none"/>
        </w:rPr>
        <w:t>2025</w:t>
      </w:r>
      <w:r>
        <w:rPr>
          <w:rFonts w:hint="eastAsia"/>
          <w:spacing w:val="-10"/>
          <w:sz w:val="24"/>
          <w:szCs w:val="24"/>
          <w:highlight w:val="none"/>
        </w:rPr>
        <w:t>年</w:t>
      </w:r>
      <w:r>
        <w:rPr>
          <w:spacing w:val="-10"/>
          <w:sz w:val="24"/>
          <w:szCs w:val="24"/>
          <w:highlight w:val="none"/>
        </w:rPr>
        <w:t>2</w:t>
      </w:r>
      <w:r>
        <w:rPr>
          <w:rFonts w:hint="eastAsia"/>
          <w:spacing w:val="-10"/>
          <w:sz w:val="24"/>
          <w:szCs w:val="24"/>
          <w:highlight w:val="none"/>
        </w:rPr>
        <w:t>月）的惠州市各规格（属性）碎石信息价的平均价（惠州建设工程造价信息网：</w:t>
      </w:r>
      <w:r>
        <w:rPr>
          <w:spacing w:val="-10"/>
          <w:sz w:val="24"/>
          <w:szCs w:val="24"/>
          <w:highlight w:val="none"/>
        </w:rPr>
        <w:t>http://www.gdhzcost.com/index.aspx</w:t>
      </w:r>
      <w:r>
        <w:rPr>
          <w:rFonts w:hint="eastAsia"/>
          <w:spacing w:val="-10"/>
          <w:sz w:val="24"/>
          <w:szCs w:val="24"/>
          <w:highlight w:val="none"/>
        </w:rPr>
        <w:t>）为基期价。</w:t>
      </w:r>
    </w:p>
    <w:p w14:paraId="3E44E1B5">
      <w:pPr>
        <w:pStyle w:val="8"/>
        <w:spacing w:line="360" w:lineRule="auto"/>
        <w:ind w:left="420" w:leftChars="200"/>
        <w:rPr>
          <w:rFonts w:ascii="宋体" w:hAnsi="宋体" w:cs="宋体"/>
          <w:spacing w:val="-10"/>
          <w:sz w:val="24"/>
          <w:szCs w:val="24"/>
          <w:highlight w:val="none"/>
        </w:rPr>
      </w:pPr>
      <w:r>
        <w:rPr>
          <w:spacing w:val="-10"/>
          <w:sz w:val="24"/>
          <w:szCs w:val="24"/>
          <w:highlight w:val="none"/>
        </w:rPr>
        <w:t>2.</w:t>
      </w:r>
      <w:r>
        <w:rPr>
          <w:rFonts w:hint="eastAsia"/>
          <w:spacing w:val="-10"/>
          <w:sz w:val="24"/>
          <w:szCs w:val="24"/>
          <w:highlight w:val="none"/>
        </w:rPr>
        <w:t>基准价：一个自然季度中，每月惠州市最新各规格（属性）的碎石信息价的平均价（惠州建设工程造价信息网：</w:t>
      </w:r>
      <w:r>
        <w:rPr>
          <w:spacing w:val="-10"/>
          <w:sz w:val="24"/>
          <w:szCs w:val="24"/>
          <w:highlight w:val="none"/>
        </w:rPr>
        <w:t>http://www.gdhzcost.com/index.aspx</w:t>
      </w:r>
      <w:r>
        <w:rPr>
          <w:rFonts w:hint="eastAsia"/>
          <w:spacing w:val="-10"/>
          <w:sz w:val="24"/>
          <w:szCs w:val="24"/>
          <w:highlight w:val="none"/>
        </w:rPr>
        <w:t>）为基准价。</w:t>
      </w:r>
    </w:p>
    <w:p w14:paraId="7393B025">
      <w:pPr>
        <w:pStyle w:val="8"/>
        <w:spacing w:line="360" w:lineRule="auto"/>
        <w:ind w:left="420" w:leftChars="200"/>
        <w:rPr>
          <w:rFonts w:ascii="宋体" w:hAnsi="宋体" w:cs="宋体"/>
          <w:spacing w:val="-10"/>
          <w:sz w:val="24"/>
          <w:szCs w:val="24"/>
          <w:highlight w:val="none"/>
        </w:rPr>
      </w:pPr>
      <w:r>
        <w:rPr>
          <w:spacing w:val="-10"/>
          <w:sz w:val="24"/>
          <w:szCs w:val="24"/>
          <w:highlight w:val="none"/>
        </w:rPr>
        <w:t>3.</w:t>
      </w:r>
      <w:r>
        <w:rPr>
          <w:rFonts w:hint="eastAsia"/>
          <w:spacing w:val="-10"/>
          <w:sz w:val="24"/>
          <w:szCs w:val="24"/>
          <w:highlight w:val="none"/>
        </w:rPr>
        <w:t>相对于基期价，若该季度的基准价上涨超过</w:t>
      </w:r>
      <w:r>
        <w:rPr>
          <w:spacing w:val="-10"/>
          <w:sz w:val="24"/>
          <w:szCs w:val="24"/>
          <w:highlight w:val="none"/>
        </w:rPr>
        <w:t>5%</w:t>
      </w:r>
      <w:r>
        <w:rPr>
          <w:rFonts w:hint="eastAsia"/>
          <w:spacing w:val="-10"/>
          <w:sz w:val="24"/>
          <w:szCs w:val="24"/>
          <w:highlight w:val="none"/>
        </w:rPr>
        <w:t>，则乙方本季度需另行向甲方支付调价款，调价款的金额</w:t>
      </w:r>
      <w:r>
        <w:rPr>
          <w:spacing w:val="-10"/>
          <w:sz w:val="24"/>
          <w:szCs w:val="24"/>
          <w:highlight w:val="none"/>
        </w:rPr>
        <w:t>=</w:t>
      </w:r>
      <w:r>
        <w:rPr>
          <w:rFonts w:hint="eastAsia"/>
          <w:spacing w:val="-10"/>
          <w:sz w:val="24"/>
          <w:szCs w:val="24"/>
          <w:highlight w:val="none"/>
        </w:rPr>
        <w:t>相对于基期价上涨超过</w:t>
      </w:r>
      <w:r>
        <w:rPr>
          <w:spacing w:val="-10"/>
          <w:sz w:val="24"/>
          <w:szCs w:val="24"/>
          <w:highlight w:val="none"/>
        </w:rPr>
        <w:t>5%</w:t>
      </w:r>
      <w:r>
        <w:rPr>
          <w:rFonts w:hint="eastAsia"/>
          <w:spacing w:val="-10"/>
          <w:sz w:val="24"/>
          <w:szCs w:val="24"/>
          <w:highlight w:val="none"/>
        </w:rPr>
        <w:t>的百分比</w:t>
      </w:r>
      <w:r>
        <w:rPr>
          <w:spacing w:val="-10"/>
          <w:sz w:val="24"/>
          <w:szCs w:val="24"/>
          <w:highlight w:val="none"/>
        </w:rPr>
        <w:t>*</w:t>
      </w:r>
      <w:r>
        <w:rPr>
          <w:rFonts w:hint="eastAsia"/>
          <w:spacing w:val="-10"/>
          <w:sz w:val="24"/>
          <w:szCs w:val="24"/>
          <w:highlight w:val="none"/>
        </w:rPr>
        <w:t>竞得单价</w:t>
      </w:r>
      <w:bookmarkStart w:id="90" w:name="_GoBack"/>
      <w:bookmarkEnd w:id="90"/>
      <w:r>
        <w:rPr>
          <w:spacing w:val="-10"/>
          <w:sz w:val="24"/>
          <w:szCs w:val="24"/>
          <w:highlight w:val="none"/>
        </w:rPr>
        <w:t>*</w:t>
      </w:r>
      <w:r>
        <w:rPr>
          <w:rFonts w:hint="eastAsia"/>
          <w:spacing w:val="-10"/>
          <w:sz w:val="24"/>
          <w:szCs w:val="24"/>
          <w:highlight w:val="none"/>
        </w:rPr>
        <w:t>本季度处置量。</w:t>
      </w:r>
    </w:p>
    <w:p w14:paraId="03D98204">
      <w:pPr>
        <w:pStyle w:val="8"/>
        <w:spacing w:line="360" w:lineRule="auto"/>
        <w:ind w:left="420" w:leftChars="200"/>
        <w:rPr>
          <w:rFonts w:hint="default" w:ascii="宋体" w:hAnsi="宋体" w:cs="宋体"/>
          <w:spacing w:val="-10"/>
          <w:sz w:val="24"/>
          <w:szCs w:val="24"/>
          <w:highlight w:val="none"/>
          <w:lang w:val="en-US"/>
        </w:rPr>
      </w:pPr>
      <w:r>
        <w:rPr>
          <w:spacing w:val="-10"/>
          <w:sz w:val="24"/>
          <w:szCs w:val="24"/>
          <w:highlight w:val="none"/>
        </w:rPr>
        <w:t>4.</w:t>
      </w:r>
      <w:r>
        <w:rPr>
          <w:rFonts w:hint="eastAsia"/>
          <w:spacing w:val="-10"/>
          <w:sz w:val="24"/>
          <w:szCs w:val="24"/>
          <w:highlight w:val="none"/>
        </w:rPr>
        <w:t>若该季度的基准价下跌超过</w:t>
      </w:r>
      <w:r>
        <w:rPr>
          <w:spacing w:val="-10"/>
          <w:sz w:val="24"/>
          <w:szCs w:val="24"/>
          <w:highlight w:val="none"/>
        </w:rPr>
        <w:t>5%</w:t>
      </w:r>
      <w:r>
        <w:rPr>
          <w:rFonts w:hint="eastAsia"/>
          <w:spacing w:val="-10"/>
          <w:sz w:val="24"/>
          <w:szCs w:val="24"/>
          <w:highlight w:val="none"/>
        </w:rPr>
        <w:t>，则该季度按如下调价方法调整：调价款金额</w:t>
      </w:r>
      <w:r>
        <w:rPr>
          <w:spacing w:val="-10"/>
          <w:sz w:val="24"/>
          <w:szCs w:val="24"/>
          <w:highlight w:val="none"/>
        </w:rPr>
        <w:t>=</w:t>
      </w:r>
      <w:r>
        <w:rPr>
          <w:rFonts w:hint="eastAsia"/>
          <w:spacing w:val="-10"/>
          <w:sz w:val="24"/>
          <w:szCs w:val="24"/>
          <w:highlight w:val="none"/>
        </w:rPr>
        <w:t>相对于基期价下跌超过</w:t>
      </w:r>
      <w:r>
        <w:rPr>
          <w:spacing w:val="-10"/>
          <w:sz w:val="24"/>
          <w:szCs w:val="24"/>
          <w:highlight w:val="none"/>
        </w:rPr>
        <w:t>5%</w:t>
      </w:r>
      <w:r>
        <w:rPr>
          <w:rFonts w:hint="eastAsia"/>
          <w:spacing w:val="-10"/>
          <w:sz w:val="24"/>
          <w:szCs w:val="24"/>
          <w:highlight w:val="none"/>
        </w:rPr>
        <w:t>的百分比</w:t>
      </w:r>
      <w:r>
        <w:rPr>
          <w:spacing w:val="-10"/>
          <w:sz w:val="24"/>
          <w:szCs w:val="24"/>
          <w:highlight w:val="none"/>
        </w:rPr>
        <w:t>*</w:t>
      </w:r>
      <w:r>
        <w:rPr>
          <w:rFonts w:hint="eastAsia"/>
          <w:spacing w:val="-10"/>
          <w:sz w:val="24"/>
          <w:szCs w:val="24"/>
          <w:highlight w:val="none"/>
        </w:rPr>
        <w:t>竞得单价</w:t>
      </w:r>
      <w:r>
        <w:rPr>
          <w:spacing w:val="-10"/>
          <w:sz w:val="24"/>
          <w:szCs w:val="24"/>
          <w:highlight w:val="none"/>
        </w:rPr>
        <w:t>*</w:t>
      </w:r>
      <w:r>
        <w:rPr>
          <w:rFonts w:hint="eastAsia"/>
          <w:spacing w:val="-10"/>
          <w:sz w:val="24"/>
          <w:szCs w:val="24"/>
          <w:highlight w:val="none"/>
        </w:rPr>
        <w:t>本季度处置量。</w:t>
      </w:r>
    </w:p>
    <w:p w14:paraId="4A5D8F9F">
      <w:pPr>
        <w:pStyle w:val="8"/>
        <w:spacing w:line="360" w:lineRule="auto"/>
        <w:ind w:left="420" w:leftChars="200" w:firstLine="0" w:firstLineChars="0"/>
        <w:rPr>
          <w:spacing w:val="-10"/>
          <w:sz w:val="24"/>
          <w:szCs w:val="24"/>
          <w:highlight w:val="none"/>
        </w:rPr>
      </w:pPr>
      <w:r>
        <w:rPr>
          <w:rFonts w:hint="default"/>
          <w:spacing w:val="-10"/>
          <w:sz w:val="24"/>
          <w:szCs w:val="24"/>
          <w:highlight w:val="none"/>
          <w:lang w:val="en-US"/>
        </w:rPr>
        <w:t>5</w:t>
      </w:r>
      <w:r>
        <w:rPr>
          <w:spacing w:val="-10"/>
          <w:sz w:val="24"/>
          <w:szCs w:val="24"/>
          <w:highlight w:val="none"/>
        </w:rPr>
        <w:t>.合同签订月或合同终止</w:t>
      </w:r>
      <w:r>
        <w:rPr>
          <w:rFonts w:hint="eastAsia"/>
          <w:spacing w:val="-10"/>
          <w:sz w:val="24"/>
          <w:szCs w:val="24"/>
          <w:highlight w:val="none"/>
        </w:rPr>
        <w:t>月并非自然季度首月的，则以当季度剩余月（含当月）基准价平均价格为准</w:t>
      </w:r>
      <w:r>
        <w:rPr>
          <w:spacing w:val="-10"/>
          <w:sz w:val="24"/>
          <w:szCs w:val="24"/>
          <w:highlight w:val="none"/>
        </w:rPr>
        <w:t>(例：合同签订月为2月份，则以2月和3月基准价平均价格为准与基期价对比；如合同终止月是2月份，则以2月基准价和基期价进行对比)。</w:t>
      </w:r>
    </w:p>
    <w:p w14:paraId="025B9B23">
      <w:pPr>
        <w:pStyle w:val="8"/>
        <w:spacing w:line="360" w:lineRule="auto"/>
        <w:ind w:firstLine="480" w:firstLineChars="200"/>
        <w:rPr>
          <w:sz w:val="24"/>
          <w:szCs w:val="24"/>
          <w:highlight w:val="none"/>
        </w:rPr>
      </w:pPr>
      <w:r>
        <w:rPr>
          <w:rFonts w:hint="eastAsia"/>
          <w:sz w:val="24"/>
          <w:szCs w:val="24"/>
          <w:highlight w:val="none"/>
        </w:rPr>
        <w:t>（四）其他</w:t>
      </w:r>
    </w:p>
    <w:p w14:paraId="0F5B2F10">
      <w:pPr>
        <w:pStyle w:val="8"/>
        <w:spacing w:line="360" w:lineRule="auto"/>
        <w:ind w:firstLine="480" w:firstLineChars="200"/>
        <w:rPr>
          <w:sz w:val="24"/>
          <w:szCs w:val="24"/>
          <w:highlight w:val="none"/>
        </w:rPr>
      </w:pPr>
      <w:r>
        <w:rPr>
          <w:rFonts w:hint="eastAsia"/>
          <w:sz w:val="24"/>
          <w:szCs w:val="24"/>
          <w:highlight w:val="none"/>
        </w:rPr>
        <w:t>砂石余渣</w:t>
      </w:r>
      <w:r>
        <w:rPr>
          <w:rFonts w:hint="eastAsia"/>
          <w:sz w:val="24"/>
          <w:szCs w:val="24"/>
          <w:highlight w:val="none"/>
          <w:lang w:eastAsia="zh-CN"/>
        </w:rPr>
        <w:t>处置</w:t>
      </w:r>
      <w:r>
        <w:rPr>
          <w:rFonts w:hint="eastAsia"/>
          <w:sz w:val="24"/>
          <w:szCs w:val="24"/>
          <w:highlight w:val="none"/>
        </w:rPr>
        <w:t>款、调价款等不包括乙方在砂石余渣处置过程中按法律法规的规定应缴纳的其他费用（如全部相关税费、场地租赁费用、清表等费用）。</w:t>
      </w:r>
    </w:p>
    <w:bookmarkEnd w:id="2"/>
    <w:p w14:paraId="382925C6">
      <w:pPr>
        <w:pStyle w:val="8"/>
        <w:tabs>
          <w:tab w:val="left" w:pos="1908"/>
        </w:tabs>
        <w:spacing w:line="360" w:lineRule="auto"/>
        <w:ind w:firstLine="448" w:firstLineChars="200"/>
        <w:rPr>
          <w:spacing w:val="-8"/>
          <w:sz w:val="24"/>
          <w:szCs w:val="24"/>
          <w:highlight w:val="none"/>
        </w:rPr>
      </w:pPr>
      <w:r>
        <w:rPr>
          <w:rFonts w:hint="eastAsia"/>
          <w:spacing w:val="-8"/>
          <w:sz w:val="24"/>
          <w:szCs w:val="24"/>
          <w:highlight w:val="none"/>
        </w:rPr>
        <w:t xml:space="preserve">第四条   </w:t>
      </w:r>
      <w:bookmarkStart w:id="3" w:name="_Hlk197692155"/>
      <w:r>
        <w:rPr>
          <w:rFonts w:hint="eastAsia"/>
          <w:spacing w:val="-8"/>
          <w:sz w:val="24"/>
          <w:szCs w:val="24"/>
          <w:highlight w:val="none"/>
        </w:rPr>
        <w:t xml:space="preserve"> 履约保证金</w:t>
      </w:r>
    </w:p>
    <w:p w14:paraId="1D9AE6D0">
      <w:pPr>
        <w:pStyle w:val="8"/>
        <w:tabs>
          <w:tab w:val="left" w:pos="1908"/>
        </w:tabs>
        <w:spacing w:line="360" w:lineRule="auto"/>
        <w:ind w:firstLine="480" w:firstLineChars="200"/>
        <w:rPr>
          <w:sz w:val="24"/>
          <w:szCs w:val="24"/>
          <w:highlight w:val="none"/>
        </w:rPr>
      </w:pPr>
      <w:r>
        <w:rPr>
          <w:rFonts w:hint="eastAsia"/>
          <w:sz w:val="24"/>
          <w:szCs w:val="24"/>
          <w:highlight w:val="none"/>
        </w:rPr>
        <w:t>乙方在签订合同后5个工作日内，必须将履约保证金提交甲方。</w:t>
      </w:r>
    </w:p>
    <w:p w14:paraId="5A9570C9">
      <w:pPr>
        <w:pStyle w:val="8"/>
        <w:tabs>
          <w:tab w:val="left" w:pos="1908"/>
        </w:tabs>
        <w:spacing w:line="360" w:lineRule="auto"/>
        <w:ind w:firstLine="480" w:firstLineChars="200"/>
        <w:rPr>
          <w:sz w:val="24"/>
          <w:szCs w:val="24"/>
          <w:highlight w:val="none"/>
        </w:rPr>
      </w:pPr>
      <w:r>
        <w:rPr>
          <w:rFonts w:hint="eastAsia"/>
          <w:sz w:val="24"/>
          <w:szCs w:val="24"/>
          <w:highlight w:val="none"/>
        </w:rPr>
        <w:t>履约保证金为</w:t>
      </w:r>
      <w:r>
        <w:rPr>
          <w:rFonts w:hint="eastAsia"/>
          <w:sz w:val="24"/>
          <w:szCs w:val="24"/>
          <w:highlight w:val="none"/>
          <w:lang w:val="en-US" w:eastAsia="zh-CN"/>
        </w:rPr>
        <w:t>3</w:t>
      </w:r>
      <w:r>
        <w:rPr>
          <w:rFonts w:hint="eastAsia"/>
          <w:sz w:val="24"/>
          <w:szCs w:val="24"/>
          <w:highlight w:val="none"/>
        </w:rPr>
        <w:t>00万元。缴纳形式：银行转账或银行保函。</w:t>
      </w:r>
    </w:p>
    <w:p w14:paraId="3214A3D7">
      <w:pPr>
        <w:pStyle w:val="8"/>
        <w:spacing w:line="360" w:lineRule="auto"/>
        <w:ind w:firstLine="480" w:firstLineChars="200"/>
        <w:rPr>
          <w:sz w:val="24"/>
          <w:szCs w:val="24"/>
          <w:highlight w:val="none"/>
        </w:rPr>
      </w:pPr>
      <w:r>
        <w:rPr>
          <w:rFonts w:hint="eastAsia"/>
          <w:sz w:val="24"/>
          <w:szCs w:val="24"/>
          <w:highlight w:val="none"/>
        </w:rPr>
        <w:t>若乙方在合同履行期间违约，给甲方造成损失，甲方有权在履约担保中扣除已确认的损失部分，若给甲方造成的损失超过履约担保额时，由乙方赔偿甲方超过履约担保额外的损失。若合同履行期间履约担保金额因乙方违约被扣除的，乙方应在收到甲方通知后10日内补足履约担保金额</w:t>
      </w:r>
      <w:r>
        <w:rPr>
          <w:rFonts w:hint="eastAsia"/>
          <w:sz w:val="24"/>
          <w:szCs w:val="24"/>
          <w:highlight w:val="none"/>
        </w:rPr>
        <w:t>。因乙方违约导致合同解除的，履约保证金不予退还</w:t>
      </w:r>
      <w:r>
        <w:rPr>
          <w:rFonts w:hint="eastAsia"/>
          <w:sz w:val="24"/>
          <w:szCs w:val="24"/>
          <w:highlight w:val="none"/>
          <w:lang w:eastAsia="zh-CN"/>
        </w:rPr>
        <w:t>。</w:t>
      </w:r>
      <w:r>
        <w:rPr>
          <w:rFonts w:hint="eastAsia"/>
          <w:sz w:val="24"/>
          <w:szCs w:val="24"/>
          <w:highlight w:val="none"/>
        </w:rPr>
        <w:t>如乙方无违约行为的，履约保证金在合同到期后且乙方按规定完成土地平整等工作后30日内无息退回乙方。如需延期，乙方应继续提供履约担保，不论甲方原因或乙方原因导致延期的，继续提供履约担保所需费用由乙方承担。</w:t>
      </w:r>
    </w:p>
    <w:bookmarkEnd w:id="3"/>
    <w:p w14:paraId="5CDE3A42">
      <w:pPr>
        <w:pStyle w:val="8"/>
        <w:tabs>
          <w:tab w:val="left" w:pos="1908"/>
        </w:tabs>
        <w:spacing w:line="360" w:lineRule="auto"/>
        <w:ind w:firstLine="448" w:firstLineChars="200"/>
        <w:rPr>
          <w:spacing w:val="-8"/>
          <w:sz w:val="24"/>
          <w:szCs w:val="24"/>
          <w:highlight w:val="none"/>
        </w:rPr>
      </w:pPr>
      <w:r>
        <w:rPr>
          <w:rFonts w:hint="eastAsia"/>
          <w:spacing w:val="-8"/>
          <w:sz w:val="24"/>
          <w:szCs w:val="24"/>
          <w:highlight w:val="none"/>
        </w:rPr>
        <w:t>第五条    甲方权利</w:t>
      </w:r>
    </w:p>
    <w:p w14:paraId="546DD6EF">
      <w:pPr>
        <w:pStyle w:val="8"/>
        <w:spacing w:line="360" w:lineRule="auto"/>
        <w:ind w:firstLine="480" w:firstLineChars="200"/>
        <w:rPr>
          <w:sz w:val="24"/>
          <w:szCs w:val="24"/>
          <w:highlight w:val="none"/>
        </w:rPr>
      </w:pPr>
      <w:r>
        <w:rPr>
          <w:rFonts w:hint="eastAsia"/>
          <w:sz w:val="24"/>
          <w:szCs w:val="24"/>
          <w:highlight w:val="none"/>
        </w:rPr>
        <w:t>（一）本合同履约期间，甲方有权指导乙方将砂石余渣稳定供应大亚湾区内各级工程项目、民生工程等。</w:t>
      </w:r>
    </w:p>
    <w:p w14:paraId="14DB6A51">
      <w:pPr>
        <w:pStyle w:val="8"/>
        <w:spacing w:line="360" w:lineRule="auto"/>
        <w:ind w:firstLine="480" w:firstLineChars="200"/>
        <w:rPr>
          <w:sz w:val="24"/>
          <w:szCs w:val="24"/>
          <w:highlight w:val="none"/>
        </w:rPr>
      </w:pPr>
      <w:r>
        <w:rPr>
          <w:rFonts w:hint="eastAsia"/>
          <w:sz w:val="24"/>
          <w:szCs w:val="24"/>
          <w:highlight w:val="none"/>
        </w:rPr>
        <w:t>（二）因砂石余渣处置所依据的客观情况发生重大变化，为了公共利益的需要或应有关部门要求，甲方有权依法取消砂石余渣处置，解除本合同，且不承担任何违约责任。</w:t>
      </w:r>
    </w:p>
    <w:p w14:paraId="408A5096">
      <w:pPr>
        <w:pStyle w:val="8"/>
        <w:spacing w:line="360" w:lineRule="auto"/>
        <w:ind w:firstLine="480" w:firstLineChars="200"/>
        <w:rPr>
          <w:sz w:val="24"/>
          <w:szCs w:val="24"/>
          <w:highlight w:val="none"/>
        </w:rPr>
      </w:pPr>
      <w:r>
        <w:rPr>
          <w:rFonts w:hint="eastAsia"/>
          <w:sz w:val="24"/>
          <w:szCs w:val="24"/>
          <w:highlight w:val="none"/>
        </w:rPr>
        <w:t>（三）对乙方场地平整工作、地质环境保护及其它应履行的法定义务进行监督检查。</w:t>
      </w:r>
    </w:p>
    <w:p w14:paraId="154255F3">
      <w:pPr>
        <w:pStyle w:val="8"/>
        <w:tabs>
          <w:tab w:val="left" w:pos="1908"/>
        </w:tabs>
        <w:spacing w:line="360" w:lineRule="auto"/>
        <w:ind w:firstLine="480" w:firstLineChars="200"/>
        <w:rPr>
          <w:sz w:val="24"/>
          <w:szCs w:val="24"/>
          <w:highlight w:val="none"/>
        </w:rPr>
      </w:pPr>
      <w:r>
        <w:rPr>
          <w:rFonts w:hint="eastAsia"/>
          <w:sz w:val="24"/>
          <w:szCs w:val="24"/>
          <w:highlight w:val="none"/>
        </w:rPr>
        <w:t>第</w:t>
      </w:r>
      <w:r>
        <w:rPr>
          <w:rFonts w:hint="eastAsia"/>
          <w:spacing w:val="-3"/>
          <w:sz w:val="24"/>
          <w:szCs w:val="24"/>
          <w:highlight w:val="none"/>
        </w:rPr>
        <w:t>六</w:t>
      </w:r>
      <w:r>
        <w:rPr>
          <w:rFonts w:hint="eastAsia"/>
          <w:sz w:val="24"/>
          <w:szCs w:val="24"/>
          <w:highlight w:val="none"/>
        </w:rPr>
        <w:t xml:space="preserve">条   </w:t>
      </w:r>
      <w:r>
        <w:rPr>
          <w:rFonts w:hint="eastAsia"/>
          <w:sz w:val="24"/>
          <w:szCs w:val="24"/>
          <w:highlight w:val="none"/>
        </w:rPr>
        <w:tab/>
      </w:r>
      <w:r>
        <w:rPr>
          <w:rFonts w:hint="eastAsia"/>
          <w:sz w:val="24"/>
          <w:szCs w:val="24"/>
          <w:highlight w:val="none"/>
        </w:rPr>
        <w:t>甲</w:t>
      </w:r>
      <w:r>
        <w:rPr>
          <w:rFonts w:hint="eastAsia"/>
          <w:spacing w:val="-3"/>
          <w:sz w:val="24"/>
          <w:szCs w:val="24"/>
          <w:highlight w:val="none"/>
        </w:rPr>
        <w:t>方</w:t>
      </w:r>
      <w:r>
        <w:rPr>
          <w:rFonts w:hint="eastAsia"/>
          <w:sz w:val="24"/>
          <w:szCs w:val="24"/>
          <w:highlight w:val="none"/>
        </w:rPr>
        <w:t>义务</w:t>
      </w:r>
    </w:p>
    <w:p w14:paraId="2CE7FB62">
      <w:pPr>
        <w:pStyle w:val="8"/>
        <w:spacing w:line="360" w:lineRule="auto"/>
        <w:ind w:firstLine="480" w:firstLineChars="200"/>
        <w:rPr>
          <w:sz w:val="24"/>
          <w:szCs w:val="24"/>
          <w:highlight w:val="none"/>
        </w:rPr>
      </w:pPr>
      <w:r>
        <w:rPr>
          <w:rFonts w:hint="eastAsia"/>
          <w:sz w:val="24"/>
          <w:szCs w:val="24"/>
          <w:highlight w:val="none"/>
        </w:rPr>
        <w:t>（一）在本合同生效期间，甲方不得将本合同约定的砂石余渣另行向第三方处置。</w:t>
      </w:r>
    </w:p>
    <w:p w14:paraId="5AA3A99A">
      <w:pPr>
        <w:pStyle w:val="8"/>
        <w:spacing w:line="360" w:lineRule="auto"/>
        <w:ind w:firstLine="480" w:firstLineChars="200"/>
        <w:rPr>
          <w:sz w:val="24"/>
          <w:szCs w:val="24"/>
          <w:highlight w:val="none"/>
        </w:rPr>
      </w:pPr>
      <w:r>
        <w:rPr>
          <w:rFonts w:hint="eastAsia"/>
          <w:sz w:val="24"/>
          <w:szCs w:val="24"/>
          <w:highlight w:val="none"/>
        </w:rPr>
        <w:t>（二）因砂石余渣处置所依据的客观情况发生重大变化，为了公共利益的需要或应有关部门要求，甲方依法取消砂石余渣处置，在解除本合同的同时按规定妥善处置该砂石余渣。</w:t>
      </w:r>
    </w:p>
    <w:p w14:paraId="53AE7254">
      <w:pPr>
        <w:pStyle w:val="8"/>
        <w:tabs>
          <w:tab w:val="left" w:pos="1908"/>
        </w:tabs>
        <w:spacing w:line="360" w:lineRule="auto"/>
        <w:ind w:firstLine="480" w:firstLineChars="200"/>
        <w:rPr>
          <w:sz w:val="24"/>
          <w:szCs w:val="24"/>
          <w:highlight w:val="none"/>
        </w:rPr>
      </w:pPr>
      <w:r>
        <w:rPr>
          <w:rFonts w:hint="eastAsia"/>
          <w:sz w:val="24"/>
          <w:szCs w:val="24"/>
          <w:highlight w:val="none"/>
        </w:rPr>
        <w:t>第</w:t>
      </w:r>
      <w:r>
        <w:rPr>
          <w:rFonts w:hint="eastAsia"/>
          <w:spacing w:val="-3"/>
          <w:sz w:val="24"/>
          <w:szCs w:val="24"/>
          <w:highlight w:val="none"/>
        </w:rPr>
        <w:t>七</w:t>
      </w:r>
      <w:r>
        <w:rPr>
          <w:rFonts w:hint="eastAsia"/>
          <w:sz w:val="24"/>
          <w:szCs w:val="24"/>
          <w:highlight w:val="none"/>
        </w:rPr>
        <w:t xml:space="preserve">条  </w:t>
      </w:r>
      <w:r>
        <w:rPr>
          <w:rFonts w:hint="eastAsia"/>
          <w:sz w:val="24"/>
          <w:szCs w:val="24"/>
          <w:highlight w:val="none"/>
        </w:rPr>
        <w:tab/>
      </w:r>
      <w:r>
        <w:rPr>
          <w:rFonts w:hint="eastAsia"/>
          <w:sz w:val="24"/>
          <w:szCs w:val="24"/>
          <w:highlight w:val="none"/>
        </w:rPr>
        <w:t>乙</w:t>
      </w:r>
      <w:r>
        <w:rPr>
          <w:rFonts w:hint="eastAsia"/>
          <w:spacing w:val="-3"/>
          <w:sz w:val="24"/>
          <w:szCs w:val="24"/>
          <w:highlight w:val="none"/>
        </w:rPr>
        <w:t>方</w:t>
      </w:r>
      <w:r>
        <w:rPr>
          <w:rFonts w:hint="eastAsia"/>
          <w:sz w:val="24"/>
          <w:szCs w:val="24"/>
          <w:highlight w:val="none"/>
        </w:rPr>
        <w:t>权利</w:t>
      </w:r>
    </w:p>
    <w:p w14:paraId="6664E43E">
      <w:pPr>
        <w:pStyle w:val="8"/>
        <w:spacing w:line="360" w:lineRule="auto"/>
        <w:ind w:firstLine="480" w:firstLineChars="200"/>
        <w:rPr>
          <w:sz w:val="24"/>
          <w:szCs w:val="24"/>
          <w:highlight w:val="none"/>
        </w:rPr>
      </w:pPr>
      <w:r>
        <w:rPr>
          <w:rFonts w:hint="eastAsia"/>
          <w:sz w:val="24"/>
          <w:szCs w:val="24"/>
          <w:highlight w:val="none"/>
        </w:rPr>
        <w:t>（一）乙方在依据本合同支付砂石余渣处置等款项后，在有效限期内依法享有该宗砂石余渣的使用和处分权利。</w:t>
      </w:r>
    </w:p>
    <w:p w14:paraId="479515A9">
      <w:pPr>
        <w:pStyle w:val="8"/>
        <w:spacing w:line="360" w:lineRule="auto"/>
        <w:ind w:firstLine="480" w:firstLineChars="200"/>
        <w:rPr>
          <w:sz w:val="24"/>
          <w:szCs w:val="24"/>
          <w:highlight w:val="none"/>
        </w:rPr>
      </w:pPr>
      <w:r>
        <w:rPr>
          <w:rFonts w:hint="eastAsia"/>
          <w:sz w:val="24"/>
          <w:szCs w:val="24"/>
          <w:highlight w:val="none"/>
        </w:rPr>
        <w:t>（二）甲方未按照合同的约定移交砂石余渣的，乙方有权解除本合同。</w:t>
      </w:r>
    </w:p>
    <w:p w14:paraId="3D6CC6E4">
      <w:pPr>
        <w:pStyle w:val="8"/>
        <w:spacing w:line="360" w:lineRule="auto"/>
        <w:ind w:firstLine="480" w:firstLineChars="200"/>
        <w:rPr>
          <w:sz w:val="24"/>
          <w:szCs w:val="24"/>
          <w:highlight w:val="none"/>
        </w:rPr>
      </w:pPr>
      <w:r>
        <w:rPr>
          <w:rFonts w:hint="eastAsia"/>
          <w:sz w:val="24"/>
          <w:szCs w:val="24"/>
          <w:highlight w:val="none"/>
        </w:rPr>
        <w:t>（三）因砂石余渣处置所依据的客观情况发生重大变化，为了公共利益的需要或应有关部门要求等导致甲方解除合同或合同终止，或者由于土地使用、工作范围变化及其他各种原因经甲乙双方协商一致进行合同解除或终止的，乙方有权申请按照剩余砂石余渣量进行砂石余渣处置等款项核定，并依据相关规定要求甲方实行多退少补。合同解除或终止总结算价=竞得总价-（未处置剩余砂石余渣量*竞得单价）+调价金额。</w:t>
      </w:r>
    </w:p>
    <w:p w14:paraId="1116F225">
      <w:pPr>
        <w:pStyle w:val="8"/>
        <w:spacing w:line="360" w:lineRule="auto"/>
        <w:ind w:firstLine="480" w:firstLineChars="200"/>
        <w:rPr>
          <w:sz w:val="24"/>
          <w:szCs w:val="24"/>
          <w:highlight w:val="none"/>
        </w:rPr>
      </w:pPr>
      <w:r>
        <w:rPr>
          <w:rFonts w:hint="eastAsia"/>
          <w:sz w:val="24"/>
          <w:szCs w:val="24"/>
          <w:highlight w:val="none"/>
        </w:rPr>
        <w:t>第</w:t>
      </w:r>
      <w:r>
        <w:rPr>
          <w:rFonts w:hint="eastAsia"/>
          <w:spacing w:val="-3"/>
          <w:sz w:val="24"/>
          <w:szCs w:val="24"/>
          <w:highlight w:val="none"/>
        </w:rPr>
        <w:t>八</w:t>
      </w:r>
      <w:r>
        <w:rPr>
          <w:rFonts w:hint="eastAsia"/>
          <w:sz w:val="24"/>
          <w:szCs w:val="24"/>
          <w:highlight w:val="none"/>
        </w:rPr>
        <w:t>条    乙</w:t>
      </w:r>
      <w:r>
        <w:rPr>
          <w:rFonts w:hint="eastAsia"/>
          <w:spacing w:val="-3"/>
          <w:sz w:val="24"/>
          <w:szCs w:val="24"/>
          <w:highlight w:val="none"/>
        </w:rPr>
        <w:t>方</w:t>
      </w:r>
      <w:r>
        <w:rPr>
          <w:rFonts w:hint="eastAsia"/>
          <w:sz w:val="24"/>
          <w:szCs w:val="24"/>
          <w:highlight w:val="none"/>
        </w:rPr>
        <w:t>义务</w:t>
      </w:r>
    </w:p>
    <w:p w14:paraId="38543CB3">
      <w:pPr>
        <w:pStyle w:val="8"/>
        <w:spacing w:line="360" w:lineRule="auto"/>
        <w:ind w:firstLine="480" w:firstLineChars="200"/>
        <w:rPr>
          <w:sz w:val="24"/>
          <w:szCs w:val="24"/>
          <w:highlight w:val="none"/>
        </w:rPr>
      </w:pPr>
      <w:r>
        <w:rPr>
          <w:rFonts w:hint="eastAsia"/>
          <w:sz w:val="24"/>
          <w:szCs w:val="24"/>
          <w:highlight w:val="none"/>
        </w:rPr>
        <w:t>（一）按时足额支付本合同约定的前期勘察与测量、评估、项目技术咨询、砂石余渣</w:t>
      </w:r>
      <w:r>
        <w:rPr>
          <w:rFonts w:hint="eastAsia"/>
          <w:sz w:val="24"/>
          <w:szCs w:val="24"/>
          <w:highlight w:val="none"/>
          <w:lang w:eastAsia="zh-CN"/>
        </w:rPr>
        <w:t>处置</w:t>
      </w:r>
      <w:r>
        <w:rPr>
          <w:rFonts w:hint="eastAsia"/>
          <w:sz w:val="24"/>
          <w:szCs w:val="24"/>
          <w:highlight w:val="none"/>
        </w:rPr>
        <w:t>款、调价款等费用。</w:t>
      </w:r>
    </w:p>
    <w:p w14:paraId="12A96EE7">
      <w:pPr>
        <w:pStyle w:val="8"/>
        <w:spacing w:line="360" w:lineRule="auto"/>
        <w:ind w:firstLine="480" w:firstLineChars="200"/>
        <w:rPr>
          <w:sz w:val="24"/>
          <w:szCs w:val="24"/>
          <w:highlight w:val="none"/>
        </w:rPr>
      </w:pPr>
      <w:r>
        <w:rPr>
          <w:rFonts w:hint="eastAsia"/>
          <w:sz w:val="24"/>
          <w:szCs w:val="24"/>
          <w:highlight w:val="none"/>
        </w:rPr>
        <w:t>（二）项目地块占地面积约45.34万㎡，</w:t>
      </w:r>
      <w:r>
        <w:rPr>
          <w:rFonts w:hint="eastAsia"/>
          <w:sz w:val="24"/>
          <w:szCs w:val="24"/>
          <w:highlight w:val="none"/>
          <w:lang w:eastAsia="zh-CN"/>
        </w:rPr>
        <w:t>部分</w:t>
      </w:r>
      <w:r>
        <w:rPr>
          <w:rFonts w:hint="eastAsia"/>
          <w:sz w:val="24"/>
          <w:szCs w:val="24"/>
          <w:highlight w:val="none"/>
        </w:rPr>
        <w:t>土地权属归其他第三方，需由乙方协调土地权属方。</w:t>
      </w:r>
    </w:p>
    <w:p w14:paraId="09105F86">
      <w:pPr>
        <w:pStyle w:val="8"/>
        <w:spacing w:line="360" w:lineRule="auto"/>
        <w:ind w:firstLine="480" w:firstLineChars="200"/>
        <w:rPr>
          <w:sz w:val="24"/>
          <w:szCs w:val="24"/>
          <w:highlight w:val="none"/>
        </w:rPr>
      </w:pPr>
      <w:r>
        <w:rPr>
          <w:rFonts w:hint="eastAsia"/>
          <w:sz w:val="24"/>
          <w:szCs w:val="24"/>
          <w:highlight w:val="none"/>
        </w:rPr>
        <w:t>本次处置所涉及的土地权属及其地上附着物如固定设施、道路、安全距离、卫生防护距离内的房屋、输电线等相关权属的处置，因补偿、拆迁等问题需与周边村镇及群众协商的事宜较多，乙方需到地块所在地政府、街道办、权益人充分了解用地权益事宜。乙方除遵循相关法律法规要求作业外，应与土地权益人进行协商，征得土地权益人同意后方可进场、开工、作业。乙方因与权益人无法达成协议而导致乙方无法按期施工和生产等问题，乙方自愿承担一切风险和损失。</w:t>
      </w:r>
    </w:p>
    <w:p w14:paraId="542D55B8">
      <w:pPr>
        <w:pStyle w:val="8"/>
        <w:spacing w:line="360" w:lineRule="auto"/>
        <w:ind w:firstLine="480" w:firstLineChars="200"/>
        <w:rPr>
          <w:sz w:val="24"/>
          <w:szCs w:val="24"/>
          <w:highlight w:val="none"/>
        </w:rPr>
      </w:pPr>
      <w:r>
        <w:rPr>
          <w:rFonts w:hint="eastAsia"/>
          <w:sz w:val="24"/>
          <w:szCs w:val="24"/>
          <w:highlight w:val="none"/>
        </w:rPr>
        <w:t>（三）项目地块部分覆盖绿植，乙方需按相关要求对该地块进行清表工作，需配合政府相关部门及甲方要求对该地块、指定的弃土区进行平整，且承担费用。</w:t>
      </w:r>
    </w:p>
    <w:p w14:paraId="6A3E5CF7">
      <w:pPr>
        <w:pStyle w:val="8"/>
        <w:spacing w:line="360" w:lineRule="auto"/>
        <w:ind w:firstLine="480" w:firstLineChars="200"/>
        <w:rPr>
          <w:sz w:val="24"/>
          <w:szCs w:val="24"/>
          <w:highlight w:val="none"/>
        </w:rPr>
      </w:pPr>
      <w:r>
        <w:rPr>
          <w:rFonts w:hint="eastAsia"/>
          <w:sz w:val="24"/>
          <w:szCs w:val="24"/>
          <w:highlight w:val="none"/>
        </w:rPr>
        <w:t>（四）由于地质条件的复杂性和勘察工作的局限性，砂石余渣量、形态、品质等可能与实际有差距，存在不可预见的风险，乙方需承担相应的风险</w:t>
      </w:r>
      <w:r>
        <w:rPr>
          <w:rFonts w:hint="eastAsia"/>
          <w:sz w:val="24"/>
          <w:szCs w:val="24"/>
          <w:highlight w:val="none"/>
          <w:lang w:eastAsia="zh-CN"/>
        </w:rPr>
        <w:t>，不得要求调整处置款</w:t>
      </w:r>
      <w:r>
        <w:rPr>
          <w:rFonts w:hint="eastAsia"/>
          <w:sz w:val="24"/>
          <w:szCs w:val="24"/>
          <w:highlight w:val="none"/>
        </w:rPr>
        <w:t>。</w:t>
      </w:r>
    </w:p>
    <w:p w14:paraId="758169DC">
      <w:pPr>
        <w:pStyle w:val="8"/>
        <w:spacing w:line="360" w:lineRule="auto"/>
        <w:ind w:firstLine="480" w:firstLineChars="200"/>
        <w:rPr>
          <w:sz w:val="24"/>
          <w:szCs w:val="24"/>
          <w:highlight w:val="none"/>
        </w:rPr>
      </w:pPr>
      <w:r>
        <w:rPr>
          <w:rFonts w:hint="eastAsia"/>
          <w:sz w:val="24"/>
          <w:szCs w:val="24"/>
          <w:highlight w:val="none"/>
        </w:rPr>
        <w:t>（五）乙方负责本项目实施相关的立项、爆破、生产线建设、相关环评工作的报建、报批和备案手续并承担相应费用，乙方应就上述事宜到各相关职能部门进行充分问询，预估办理难度。甲方可协助乙方进行本条工作，但相关结果以及责任由乙方自行承担。</w:t>
      </w:r>
    </w:p>
    <w:p w14:paraId="00C71FFA">
      <w:pPr>
        <w:pStyle w:val="8"/>
        <w:spacing w:line="360" w:lineRule="auto"/>
        <w:ind w:firstLine="480" w:firstLineChars="200"/>
        <w:rPr>
          <w:sz w:val="24"/>
          <w:szCs w:val="24"/>
          <w:highlight w:val="none"/>
        </w:rPr>
      </w:pPr>
      <w:r>
        <w:rPr>
          <w:rFonts w:hint="eastAsia"/>
          <w:sz w:val="24"/>
          <w:szCs w:val="24"/>
          <w:highlight w:val="none"/>
        </w:rPr>
        <w:t>（六）施工用水、用电由乙方负责根据施工需要自行解决，并承担实际用水、用电产生的费用。施工范围内的临时便道及临时排水设施由乙方负责根据施工需要修筑并维护。</w:t>
      </w:r>
    </w:p>
    <w:p w14:paraId="72226174">
      <w:pPr>
        <w:pStyle w:val="8"/>
        <w:spacing w:line="360" w:lineRule="auto"/>
        <w:ind w:firstLine="480" w:firstLineChars="200"/>
        <w:rPr>
          <w:sz w:val="24"/>
          <w:szCs w:val="24"/>
          <w:highlight w:val="none"/>
        </w:rPr>
      </w:pPr>
      <w:r>
        <w:rPr>
          <w:rFonts w:hint="eastAsia"/>
          <w:sz w:val="24"/>
          <w:szCs w:val="24"/>
          <w:highlight w:val="none"/>
        </w:rPr>
        <w:t>（七）乙方必须依法对该砂石余渣进行处置，严格按照相关要求进行作业，遵循相关部门的要求，做好安全生产、扬尘防护等相关工作，防止环境污染。</w:t>
      </w:r>
    </w:p>
    <w:p w14:paraId="2C01A2B8">
      <w:pPr>
        <w:pStyle w:val="8"/>
        <w:spacing w:line="360" w:lineRule="auto"/>
        <w:ind w:firstLine="480" w:firstLineChars="200"/>
        <w:rPr>
          <w:sz w:val="24"/>
          <w:szCs w:val="24"/>
          <w:highlight w:val="none"/>
        </w:rPr>
      </w:pPr>
      <w:r>
        <w:rPr>
          <w:rFonts w:hint="eastAsia"/>
          <w:sz w:val="24"/>
          <w:szCs w:val="24"/>
          <w:highlight w:val="none"/>
        </w:rPr>
        <w:t>（八）乙方在生产过程中须严格遵守安全生产和环境保护等相关法律法规，因安全事故和破坏环境等造成损失的，由乙方自行承担后果。</w:t>
      </w:r>
    </w:p>
    <w:p w14:paraId="55CC2A5C">
      <w:pPr>
        <w:pStyle w:val="8"/>
        <w:spacing w:line="360" w:lineRule="auto"/>
        <w:ind w:firstLine="480" w:firstLineChars="200"/>
        <w:rPr>
          <w:sz w:val="24"/>
          <w:szCs w:val="24"/>
          <w:highlight w:val="none"/>
        </w:rPr>
      </w:pPr>
      <w:r>
        <w:rPr>
          <w:rFonts w:hint="eastAsia"/>
          <w:sz w:val="24"/>
          <w:szCs w:val="24"/>
          <w:highlight w:val="none"/>
        </w:rPr>
        <w:t>（九）本次处置的砂石余渣需乙方自行外运，涉及地块上的砂石余渣处置所需要的进出场道路、场区管理等事宜由乙方根据需要与相关单位自行沟通。乙方在生产过程中运输车辆必须依法取得车辆营运证，并按规定履行报备手续，须遵守公路车辆运输超载超限治理的相关规定，因车辆超限超载等问题致使停产停工而造成损失的，由乙方自行承担后果。</w:t>
      </w:r>
    </w:p>
    <w:p w14:paraId="1481EA22">
      <w:pPr>
        <w:pStyle w:val="8"/>
        <w:spacing w:line="360" w:lineRule="auto"/>
        <w:ind w:firstLine="480" w:firstLineChars="200"/>
        <w:rPr>
          <w:sz w:val="24"/>
          <w:szCs w:val="24"/>
          <w:highlight w:val="none"/>
        </w:rPr>
      </w:pPr>
      <w:r>
        <w:rPr>
          <w:rFonts w:hint="eastAsia"/>
          <w:sz w:val="24"/>
          <w:szCs w:val="24"/>
          <w:highlight w:val="none"/>
        </w:rPr>
        <w:t>（十）乙方须严格按照《广东省建筑垃圾管理条例》以及我市《关于进一步规范全市建筑装修垃圾处置管理工作的意见》《惠州市建筑垃圾处置核准工作指引（试行）》等相关政策文件的规定处置本项目建筑垃圾。</w:t>
      </w:r>
    </w:p>
    <w:p w14:paraId="56FFE49B">
      <w:pPr>
        <w:pStyle w:val="8"/>
        <w:spacing w:line="360" w:lineRule="auto"/>
        <w:ind w:firstLine="480" w:firstLineChars="200"/>
        <w:rPr>
          <w:sz w:val="24"/>
          <w:szCs w:val="24"/>
          <w:highlight w:val="none"/>
        </w:rPr>
      </w:pPr>
      <w:r>
        <w:rPr>
          <w:rFonts w:hint="eastAsia"/>
          <w:sz w:val="24"/>
          <w:szCs w:val="24"/>
          <w:highlight w:val="none"/>
        </w:rPr>
        <w:t>（十一）乙方在砂石余渣处置过程中，与当地群众发生一切纠纷（地质环境、生态环境、水资源、生活环境、基础设施等纠纷）未妥善解决导致砂石余渣处置被依法叫停的，由乙方自行负责经济损失，并在恢复生产前由乙方依法依规妥善解决纠纷问题。</w:t>
      </w:r>
    </w:p>
    <w:p w14:paraId="31F1E860">
      <w:pPr>
        <w:pStyle w:val="8"/>
        <w:spacing w:line="360" w:lineRule="auto"/>
        <w:ind w:firstLine="480" w:firstLineChars="200"/>
        <w:rPr>
          <w:sz w:val="24"/>
          <w:szCs w:val="24"/>
          <w:highlight w:val="none"/>
        </w:rPr>
      </w:pPr>
      <w:r>
        <w:rPr>
          <w:rFonts w:hint="eastAsia"/>
          <w:sz w:val="24"/>
          <w:szCs w:val="24"/>
          <w:highlight w:val="none"/>
        </w:rPr>
        <w:t>（十二）因处置砂石余渣使国家或他人遭受损失的，乙方应当负责赔偿并承担相应法律责任。</w:t>
      </w:r>
    </w:p>
    <w:p w14:paraId="286C6B17">
      <w:pPr>
        <w:pStyle w:val="8"/>
        <w:spacing w:line="360" w:lineRule="auto"/>
        <w:ind w:firstLine="480" w:firstLineChars="200"/>
        <w:rPr>
          <w:sz w:val="24"/>
          <w:szCs w:val="24"/>
          <w:highlight w:val="none"/>
        </w:rPr>
      </w:pPr>
      <w:r>
        <w:rPr>
          <w:rFonts w:hint="eastAsia"/>
          <w:sz w:val="24"/>
          <w:szCs w:val="24"/>
          <w:highlight w:val="none"/>
        </w:rPr>
        <w:t>（十三）乙方在砂石余渣处置过程须按照规范要求设置边坡防护，确保边坡稳定及安全；处置时须分层、分台阶，确保边坡稳定及作业安全。</w:t>
      </w:r>
    </w:p>
    <w:p w14:paraId="62551E61">
      <w:pPr>
        <w:pStyle w:val="8"/>
        <w:spacing w:line="360" w:lineRule="auto"/>
        <w:ind w:firstLine="480" w:firstLineChars="200"/>
        <w:rPr>
          <w:sz w:val="24"/>
          <w:szCs w:val="24"/>
          <w:highlight w:val="none"/>
        </w:rPr>
      </w:pPr>
      <w:r>
        <w:rPr>
          <w:rFonts w:hint="eastAsia"/>
          <w:sz w:val="24"/>
          <w:szCs w:val="24"/>
          <w:highlight w:val="none"/>
        </w:rPr>
        <w:t>（十四）乙方扬尘污染防治和用工实名管理按国家、省、市有关规定执行；项目实施过程中，乙方若未按照相关要求实施项目，因此产生的国家、省、市、区有关处罚、费用等均由乙方自行承担。</w:t>
      </w:r>
    </w:p>
    <w:p w14:paraId="767B64F3">
      <w:pPr>
        <w:pStyle w:val="8"/>
        <w:spacing w:line="360" w:lineRule="auto"/>
        <w:ind w:firstLine="480" w:firstLineChars="200"/>
        <w:rPr>
          <w:sz w:val="24"/>
          <w:szCs w:val="24"/>
          <w:highlight w:val="none"/>
        </w:rPr>
      </w:pPr>
      <w:r>
        <w:rPr>
          <w:rFonts w:hint="eastAsia"/>
          <w:sz w:val="24"/>
          <w:szCs w:val="24"/>
          <w:highlight w:val="none"/>
        </w:rPr>
        <w:t>（十五）乙方在施工期间应严格遵守国家、省、市有关防火、爆破和施工安全以及文明施工、深夜施工、环卫和城管等规定，建立规章制度和防护措施并严格执行。由于自身措施不力造成的事故责任、法律责任和经济责任，均由乙方负责。</w:t>
      </w:r>
    </w:p>
    <w:p w14:paraId="76DCA5D3">
      <w:pPr>
        <w:pStyle w:val="8"/>
        <w:spacing w:line="360" w:lineRule="auto"/>
        <w:ind w:firstLine="480" w:firstLineChars="200"/>
        <w:rPr>
          <w:sz w:val="24"/>
          <w:szCs w:val="24"/>
          <w:highlight w:val="none"/>
        </w:rPr>
      </w:pPr>
      <w:r>
        <w:rPr>
          <w:rFonts w:hint="eastAsia"/>
          <w:sz w:val="24"/>
          <w:szCs w:val="24"/>
          <w:highlight w:val="none"/>
        </w:rPr>
        <w:t>（十六）乙方须设置围挡对地块进行封闭式管理，并在周围布设监控，确保全天侯、无死角覆盖用地红线；所有车辆出入口须安装道闸、洗车槽、地磅及监控，并确保监控及道闸平稳运行，加强安保措施，若发生砂石余渣被盗或处置量及砂石余渣处置过程能随时接受甲方及政府职能部门的监管。</w:t>
      </w:r>
    </w:p>
    <w:p w14:paraId="09D2910F">
      <w:pPr>
        <w:pStyle w:val="8"/>
        <w:spacing w:line="360" w:lineRule="auto"/>
        <w:ind w:firstLine="480" w:firstLineChars="200"/>
        <w:rPr>
          <w:sz w:val="24"/>
          <w:szCs w:val="24"/>
          <w:highlight w:val="none"/>
        </w:rPr>
      </w:pPr>
      <w:r>
        <w:rPr>
          <w:rFonts w:hint="eastAsia"/>
          <w:sz w:val="24"/>
          <w:szCs w:val="24"/>
          <w:highlight w:val="none"/>
        </w:rPr>
        <w:t>（十七）乙方需要遵守其他法律、法规、规章及政策规定，自觉接受相关职能部门的监督管理。</w:t>
      </w:r>
    </w:p>
    <w:p w14:paraId="6E13943C">
      <w:pPr>
        <w:pStyle w:val="8"/>
        <w:tabs>
          <w:tab w:val="left" w:pos="1908"/>
        </w:tabs>
        <w:spacing w:line="360" w:lineRule="auto"/>
        <w:ind w:firstLine="480" w:firstLineChars="200"/>
        <w:rPr>
          <w:sz w:val="24"/>
          <w:szCs w:val="24"/>
          <w:highlight w:val="none"/>
        </w:rPr>
      </w:pPr>
      <w:r>
        <w:rPr>
          <w:rFonts w:hint="eastAsia"/>
          <w:sz w:val="24"/>
          <w:szCs w:val="24"/>
          <w:highlight w:val="none"/>
        </w:rPr>
        <w:t>第</w:t>
      </w:r>
      <w:r>
        <w:rPr>
          <w:rFonts w:hint="eastAsia"/>
          <w:spacing w:val="-3"/>
          <w:sz w:val="24"/>
          <w:szCs w:val="24"/>
          <w:highlight w:val="none"/>
        </w:rPr>
        <w:t>九</w:t>
      </w:r>
      <w:r>
        <w:rPr>
          <w:rFonts w:hint="eastAsia"/>
          <w:sz w:val="24"/>
          <w:szCs w:val="24"/>
          <w:highlight w:val="none"/>
        </w:rPr>
        <w:t>条</w:t>
      </w:r>
      <w:r>
        <w:rPr>
          <w:rFonts w:hint="eastAsia"/>
          <w:sz w:val="24"/>
          <w:szCs w:val="24"/>
          <w:highlight w:val="none"/>
        </w:rPr>
        <w:tab/>
      </w:r>
      <w:r>
        <w:rPr>
          <w:rFonts w:hint="eastAsia"/>
          <w:spacing w:val="-1"/>
          <w:sz w:val="24"/>
          <w:szCs w:val="24"/>
          <w:highlight w:val="none"/>
        </w:rPr>
        <w:t>违</w:t>
      </w:r>
      <w:r>
        <w:rPr>
          <w:rFonts w:hint="eastAsia"/>
          <w:spacing w:val="-3"/>
          <w:sz w:val="24"/>
          <w:szCs w:val="24"/>
          <w:highlight w:val="none"/>
        </w:rPr>
        <w:t>约</w:t>
      </w:r>
      <w:r>
        <w:rPr>
          <w:rFonts w:hint="eastAsia"/>
          <w:spacing w:val="-1"/>
          <w:sz w:val="24"/>
          <w:szCs w:val="24"/>
          <w:highlight w:val="none"/>
        </w:rPr>
        <w:t>责</w:t>
      </w:r>
      <w:r>
        <w:rPr>
          <w:rFonts w:hint="eastAsia"/>
          <w:sz w:val="24"/>
          <w:szCs w:val="24"/>
          <w:highlight w:val="none"/>
        </w:rPr>
        <w:t>任</w:t>
      </w:r>
    </w:p>
    <w:p w14:paraId="002AACF3">
      <w:pPr>
        <w:pStyle w:val="8"/>
        <w:spacing w:line="360" w:lineRule="auto"/>
        <w:ind w:firstLine="480" w:firstLineChars="200"/>
        <w:rPr>
          <w:sz w:val="24"/>
          <w:szCs w:val="24"/>
          <w:highlight w:val="none"/>
        </w:rPr>
      </w:pPr>
      <w:r>
        <w:rPr>
          <w:rFonts w:hint="eastAsia"/>
          <w:sz w:val="24"/>
          <w:szCs w:val="24"/>
          <w:highlight w:val="none"/>
        </w:rPr>
        <w:t>（一）乙方须足额支付本合同项下款项。若连续三个月未足额支付（即已支付金额未达到应付金额的100%）的，则未付金额部分按每天万分之三点八向甲方支付违约金</w:t>
      </w:r>
      <w:r>
        <w:rPr>
          <w:rFonts w:hint="eastAsia"/>
          <w:sz w:val="24"/>
          <w:szCs w:val="24"/>
          <w:highlight w:val="none"/>
          <w:lang w:val="en-US" w:eastAsia="zh-CN"/>
        </w:rPr>
        <w:t>；</w:t>
      </w:r>
      <w:r>
        <w:rPr>
          <w:rFonts w:hint="eastAsia"/>
          <w:sz w:val="24"/>
          <w:szCs w:val="24"/>
          <w:highlight w:val="none"/>
        </w:rPr>
        <w:t>若</w:t>
      </w:r>
      <w:r>
        <w:rPr>
          <w:rFonts w:hint="eastAsia"/>
          <w:sz w:val="24"/>
          <w:szCs w:val="24"/>
          <w:highlight w:val="none"/>
          <w:lang w:val="en-US" w:eastAsia="zh-CN"/>
        </w:rPr>
        <w:t>乙方</w:t>
      </w:r>
      <w:r>
        <w:rPr>
          <w:rFonts w:hint="eastAsia"/>
          <w:sz w:val="24"/>
          <w:szCs w:val="24"/>
          <w:highlight w:val="none"/>
        </w:rPr>
        <w:t>连续或累计六个月支付金额未达到100%，则甲方有权直接解除合同并</w:t>
      </w:r>
      <w:r>
        <w:rPr>
          <w:rFonts w:hint="eastAsia"/>
          <w:sz w:val="24"/>
          <w:szCs w:val="24"/>
          <w:highlight w:val="none"/>
          <w:lang w:val="en-US" w:eastAsia="zh-CN"/>
        </w:rPr>
        <w:t>没收所有</w:t>
      </w:r>
      <w:r>
        <w:rPr>
          <w:rFonts w:hint="eastAsia"/>
          <w:sz w:val="24"/>
          <w:szCs w:val="24"/>
          <w:highlight w:val="none"/>
        </w:rPr>
        <w:t>款项（</w:t>
      </w:r>
      <w:r>
        <w:rPr>
          <w:rFonts w:hint="eastAsia"/>
          <w:sz w:val="24"/>
          <w:szCs w:val="24"/>
          <w:highlight w:val="none"/>
          <w:lang w:val="en-US" w:eastAsia="zh-CN"/>
        </w:rPr>
        <w:t>含</w:t>
      </w:r>
      <w:r>
        <w:rPr>
          <w:rFonts w:hint="eastAsia"/>
          <w:sz w:val="24"/>
          <w:szCs w:val="24"/>
          <w:highlight w:val="none"/>
        </w:rPr>
        <w:t>定金、</w:t>
      </w:r>
      <w:r>
        <w:rPr>
          <w:rFonts w:hint="eastAsia"/>
          <w:sz w:val="24"/>
          <w:szCs w:val="24"/>
          <w:highlight w:val="none"/>
          <w:lang w:eastAsia="zh-CN"/>
        </w:rPr>
        <w:t>处置</w:t>
      </w:r>
      <w:r>
        <w:rPr>
          <w:rFonts w:hint="eastAsia"/>
          <w:sz w:val="24"/>
          <w:szCs w:val="24"/>
          <w:highlight w:val="none"/>
        </w:rPr>
        <w:t>款、前期投入费用、履约保证金等，下同）。</w:t>
      </w:r>
    </w:p>
    <w:p w14:paraId="0039902B">
      <w:pPr>
        <w:pStyle w:val="8"/>
        <w:spacing w:line="360" w:lineRule="auto"/>
        <w:ind w:firstLine="480" w:firstLineChars="200"/>
        <w:rPr>
          <w:sz w:val="24"/>
          <w:szCs w:val="24"/>
          <w:highlight w:val="none"/>
        </w:rPr>
      </w:pPr>
      <w:r>
        <w:rPr>
          <w:rFonts w:hint="eastAsia"/>
          <w:sz w:val="24"/>
          <w:szCs w:val="24"/>
          <w:highlight w:val="none"/>
        </w:rPr>
        <w:t>（二）在合同履行过程中如发现乙方未按照合同要求进行施工、处置等，乙方在接到甲方的第一次书面整改通知后，5天内必须整改合格，否则，乙方应按50000元/次向甲方支付违约金。如乙方严重违反本合同约定且拒不改正，甲方有权单方直接解除本合同并没收所有款项。</w:t>
      </w:r>
    </w:p>
    <w:p w14:paraId="3B5C6357">
      <w:pPr>
        <w:pStyle w:val="8"/>
        <w:tabs>
          <w:tab w:val="left" w:pos="1908"/>
        </w:tabs>
        <w:spacing w:line="360" w:lineRule="auto"/>
        <w:ind w:firstLine="480" w:firstLineChars="200"/>
        <w:rPr>
          <w:sz w:val="24"/>
          <w:szCs w:val="24"/>
          <w:highlight w:val="none"/>
        </w:rPr>
      </w:pPr>
      <w:r>
        <w:rPr>
          <w:rFonts w:hint="eastAsia"/>
          <w:sz w:val="24"/>
          <w:szCs w:val="24"/>
          <w:highlight w:val="none"/>
        </w:rPr>
        <w:t>第</w:t>
      </w:r>
      <w:r>
        <w:rPr>
          <w:rFonts w:hint="eastAsia"/>
          <w:spacing w:val="-3"/>
          <w:sz w:val="24"/>
          <w:szCs w:val="24"/>
          <w:highlight w:val="none"/>
        </w:rPr>
        <w:t>十</w:t>
      </w:r>
      <w:r>
        <w:rPr>
          <w:rFonts w:hint="eastAsia"/>
          <w:sz w:val="24"/>
          <w:szCs w:val="24"/>
          <w:highlight w:val="none"/>
        </w:rPr>
        <w:t>条</w:t>
      </w:r>
      <w:r>
        <w:rPr>
          <w:rFonts w:hint="eastAsia"/>
          <w:sz w:val="24"/>
          <w:szCs w:val="24"/>
          <w:highlight w:val="none"/>
        </w:rPr>
        <w:tab/>
      </w:r>
      <w:r>
        <w:rPr>
          <w:rFonts w:hint="eastAsia"/>
          <w:sz w:val="24"/>
          <w:szCs w:val="24"/>
          <w:highlight w:val="none"/>
        </w:rPr>
        <w:t>特</w:t>
      </w:r>
      <w:r>
        <w:rPr>
          <w:rFonts w:hint="eastAsia"/>
          <w:spacing w:val="-3"/>
          <w:sz w:val="24"/>
          <w:szCs w:val="24"/>
          <w:highlight w:val="none"/>
        </w:rPr>
        <w:t>别</w:t>
      </w:r>
      <w:r>
        <w:rPr>
          <w:rFonts w:hint="eastAsia"/>
          <w:sz w:val="24"/>
          <w:szCs w:val="24"/>
          <w:highlight w:val="none"/>
        </w:rPr>
        <w:t>约定</w:t>
      </w:r>
    </w:p>
    <w:p w14:paraId="625BDEC7">
      <w:pPr>
        <w:pStyle w:val="8"/>
        <w:spacing w:line="360" w:lineRule="auto"/>
        <w:ind w:firstLine="480" w:firstLineChars="200"/>
        <w:rPr>
          <w:sz w:val="24"/>
          <w:szCs w:val="24"/>
          <w:highlight w:val="none"/>
        </w:rPr>
      </w:pPr>
      <w:r>
        <w:rPr>
          <w:rFonts w:hint="eastAsia"/>
          <w:sz w:val="24"/>
          <w:szCs w:val="24"/>
          <w:highlight w:val="none"/>
        </w:rPr>
        <w:t>（一）处置期届满后或合同解除时，由甲方按规定收回有关砂石余渣的所有权限，乙方仍应按规定要求完成已处置场地的自然生态环境治理工作：未达到自然生态环境治理标准的，限期内责成乙方进行整治。乙方不进行治理或治理后验收不合格又不再进行整治的，除承担相关违约等责任外，由大亚湾区管委会组织相关执法部门依法依规对乙方采取相应的法律措施，并且甲方按照相关规定将乙方纳入竞买人（投标人）系统黑名单。</w:t>
      </w:r>
    </w:p>
    <w:p w14:paraId="797E58DF">
      <w:pPr>
        <w:pStyle w:val="8"/>
        <w:spacing w:line="360" w:lineRule="auto"/>
        <w:ind w:firstLine="480" w:firstLineChars="200"/>
        <w:rPr>
          <w:sz w:val="24"/>
          <w:szCs w:val="24"/>
          <w:highlight w:val="none"/>
        </w:rPr>
      </w:pPr>
      <w:r>
        <w:rPr>
          <w:rFonts w:hint="eastAsia"/>
          <w:sz w:val="24"/>
          <w:szCs w:val="24"/>
          <w:highlight w:val="none"/>
        </w:rPr>
        <w:t>（二）本次处置的砂石余渣主要供应惠州市建筑市场，乙方必须优先保障大亚湾内各级重点工程项目、重大民生工程的稳定供应，处置渠道及价格必须接受有关部门监管。若发生哄抬砂石价格事件</w:t>
      </w:r>
      <w:r>
        <w:rPr>
          <w:rFonts w:hint="eastAsia"/>
          <w:sz w:val="24"/>
          <w:szCs w:val="24"/>
          <w:highlight w:val="none"/>
          <w:lang w:eastAsia="zh-CN"/>
        </w:rPr>
        <w:t>、未优先保障大亚湾区重点工程供应的，</w:t>
      </w:r>
      <w:r>
        <w:rPr>
          <w:rFonts w:hint="eastAsia"/>
          <w:sz w:val="24"/>
          <w:szCs w:val="24"/>
          <w:highlight w:val="none"/>
        </w:rPr>
        <w:t>且经甲方三次警告</w:t>
      </w:r>
      <w:r>
        <w:rPr>
          <w:rFonts w:hint="eastAsia"/>
          <w:sz w:val="24"/>
          <w:szCs w:val="24"/>
          <w:highlight w:val="none"/>
          <w:lang w:val="en-US" w:eastAsia="zh-CN"/>
        </w:rPr>
        <w:t>仍未完成整改的</w:t>
      </w:r>
      <w:r>
        <w:rPr>
          <w:rFonts w:hint="eastAsia"/>
          <w:sz w:val="24"/>
          <w:szCs w:val="24"/>
          <w:highlight w:val="none"/>
        </w:rPr>
        <w:t>，甲方有权单方直接解除本合同</w:t>
      </w:r>
      <w:r>
        <w:rPr>
          <w:rFonts w:hint="eastAsia"/>
          <w:sz w:val="24"/>
          <w:szCs w:val="24"/>
          <w:highlight w:val="none"/>
          <w:lang w:val="en-US" w:eastAsia="zh-CN"/>
        </w:rPr>
        <w:t>并没收</w:t>
      </w:r>
      <w:r>
        <w:rPr>
          <w:rFonts w:hint="eastAsia"/>
          <w:sz w:val="24"/>
          <w:szCs w:val="24"/>
          <w:highlight w:val="none"/>
        </w:rPr>
        <w:t>所有款项。</w:t>
      </w:r>
    </w:p>
    <w:p w14:paraId="7F246861">
      <w:pPr>
        <w:pStyle w:val="8"/>
        <w:spacing w:line="360" w:lineRule="auto"/>
        <w:ind w:firstLine="480" w:firstLineChars="200"/>
        <w:rPr>
          <w:sz w:val="24"/>
          <w:szCs w:val="24"/>
          <w:highlight w:val="none"/>
        </w:rPr>
      </w:pPr>
      <w:r>
        <w:rPr>
          <w:rFonts w:hint="eastAsia"/>
          <w:sz w:val="24"/>
          <w:szCs w:val="24"/>
          <w:highlight w:val="none"/>
        </w:rPr>
        <w:t>（三）乙方在砂石余渣处置完成或合同解除后，需按相关要求对项目场地进行平整，平整情况经甲方及政府主管部门验收合格且乙方无违约行为的，甲方将履约保证金无息退还给乙方。否则，未平整好的实际场地平整费用甲方有权直接在履约保证金中相应扣除。</w:t>
      </w:r>
    </w:p>
    <w:p w14:paraId="32C55DBB">
      <w:pPr>
        <w:pStyle w:val="8"/>
        <w:tabs>
          <w:tab w:val="left" w:pos="2187"/>
        </w:tabs>
        <w:spacing w:line="360" w:lineRule="auto"/>
        <w:ind w:firstLine="480" w:firstLineChars="200"/>
        <w:rPr>
          <w:sz w:val="24"/>
          <w:szCs w:val="24"/>
          <w:highlight w:val="none"/>
        </w:rPr>
      </w:pPr>
      <w:r>
        <w:rPr>
          <w:rFonts w:hint="eastAsia"/>
          <w:sz w:val="24"/>
          <w:szCs w:val="24"/>
          <w:highlight w:val="none"/>
        </w:rPr>
        <w:t>第</w:t>
      </w:r>
      <w:r>
        <w:rPr>
          <w:rFonts w:hint="eastAsia"/>
          <w:spacing w:val="-3"/>
          <w:sz w:val="24"/>
          <w:szCs w:val="24"/>
          <w:highlight w:val="none"/>
        </w:rPr>
        <w:t>十</w:t>
      </w:r>
      <w:r>
        <w:rPr>
          <w:rFonts w:hint="eastAsia"/>
          <w:sz w:val="24"/>
          <w:szCs w:val="24"/>
          <w:highlight w:val="none"/>
        </w:rPr>
        <w:t>一条</w:t>
      </w:r>
      <w:r>
        <w:rPr>
          <w:rFonts w:hint="eastAsia"/>
          <w:sz w:val="24"/>
          <w:szCs w:val="24"/>
          <w:highlight w:val="none"/>
        </w:rPr>
        <w:tab/>
      </w:r>
      <w:r>
        <w:rPr>
          <w:rFonts w:hint="eastAsia"/>
          <w:sz w:val="24"/>
          <w:szCs w:val="24"/>
          <w:highlight w:val="none"/>
        </w:rPr>
        <w:t>其</w:t>
      </w:r>
      <w:r>
        <w:rPr>
          <w:rFonts w:hint="eastAsia"/>
          <w:spacing w:val="-3"/>
          <w:sz w:val="24"/>
          <w:szCs w:val="24"/>
          <w:highlight w:val="none"/>
        </w:rPr>
        <w:t>他</w:t>
      </w:r>
      <w:r>
        <w:rPr>
          <w:rFonts w:hint="eastAsia"/>
          <w:sz w:val="24"/>
          <w:szCs w:val="24"/>
          <w:highlight w:val="none"/>
        </w:rPr>
        <w:t>约定</w:t>
      </w:r>
    </w:p>
    <w:p w14:paraId="58A99896">
      <w:pPr>
        <w:pStyle w:val="8"/>
        <w:spacing w:line="360" w:lineRule="auto"/>
        <w:ind w:firstLine="480" w:firstLineChars="200"/>
        <w:rPr>
          <w:sz w:val="24"/>
          <w:szCs w:val="24"/>
          <w:highlight w:val="none"/>
        </w:rPr>
      </w:pPr>
      <w:r>
        <w:rPr>
          <w:rFonts w:hint="eastAsia"/>
          <w:sz w:val="24"/>
          <w:szCs w:val="24"/>
          <w:highlight w:val="none"/>
        </w:rPr>
        <w:t>（一）乙方因处置工作违反相关规定产生的违法违规行为，由相关主管部门依法依规进行处理处罚，具体内容不在合同中约定。</w:t>
      </w:r>
    </w:p>
    <w:p w14:paraId="7D4FA188">
      <w:pPr>
        <w:pStyle w:val="8"/>
        <w:spacing w:line="360" w:lineRule="auto"/>
        <w:ind w:firstLine="480" w:firstLineChars="200"/>
        <w:rPr>
          <w:sz w:val="24"/>
          <w:szCs w:val="24"/>
          <w:highlight w:val="none"/>
        </w:rPr>
      </w:pPr>
      <w:r>
        <w:rPr>
          <w:rFonts w:hint="eastAsia"/>
          <w:sz w:val="24"/>
          <w:szCs w:val="24"/>
          <w:highlight w:val="none"/>
        </w:rPr>
        <w:t>（二）因乙方原因导致甲方单方解除合同的或合同自动解除的，甲方有权依法依规收回未处置的砂石余渣，乙方已支付的</w:t>
      </w:r>
      <w:r>
        <w:rPr>
          <w:rFonts w:hint="eastAsia"/>
          <w:sz w:val="24"/>
          <w:szCs w:val="24"/>
          <w:highlight w:val="none"/>
          <w:lang w:val="en-US" w:eastAsia="zh-CN"/>
        </w:rPr>
        <w:t>所有</w:t>
      </w:r>
      <w:r>
        <w:rPr>
          <w:rFonts w:hint="eastAsia"/>
          <w:sz w:val="24"/>
          <w:szCs w:val="24"/>
          <w:highlight w:val="none"/>
        </w:rPr>
        <w:t>款项不予返还；因乙方原因造成甲方损失的，乙方应当向甲方承担赔偿责任。</w:t>
      </w:r>
    </w:p>
    <w:p w14:paraId="72F4E5F3">
      <w:pPr>
        <w:pStyle w:val="8"/>
        <w:spacing w:line="360" w:lineRule="auto"/>
        <w:ind w:firstLine="480" w:firstLineChars="200"/>
        <w:rPr>
          <w:sz w:val="24"/>
          <w:szCs w:val="24"/>
          <w:highlight w:val="none"/>
        </w:rPr>
      </w:pPr>
      <w:r>
        <w:rPr>
          <w:rFonts w:hint="eastAsia"/>
          <w:sz w:val="24"/>
          <w:szCs w:val="24"/>
          <w:highlight w:val="none"/>
        </w:rPr>
        <w:t>（三）乙方应当自行承担下列可能存在的风险：</w:t>
      </w:r>
    </w:p>
    <w:p w14:paraId="38268BBF">
      <w:pPr>
        <w:pStyle w:val="8"/>
        <w:spacing w:line="360" w:lineRule="auto"/>
        <w:ind w:firstLine="480" w:firstLineChars="200"/>
        <w:rPr>
          <w:sz w:val="24"/>
          <w:szCs w:val="24"/>
          <w:highlight w:val="none"/>
        </w:rPr>
      </w:pPr>
      <w:r>
        <w:rPr>
          <w:rFonts w:hint="eastAsia"/>
          <w:sz w:val="24"/>
          <w:szCs w:val="24"/>
          <w:highlight w:val="none"/>
        </w:rPr>
        <w:t>1.由于地质条件的复杂性和勘查工作的局限性，处置的砂石余渣量、形态、品位与实际情况可能存在差异；</w:t>
      </w:r>
    </w:p>
    <w:p w14:paraId="39CBEA97">
      <w:pPr>
        <w:pStyle w:val="8"/>
        <w:spacing w:line="360" w:lineRule="auto"/>
        <w:ind w:firstLine="480" w:firstLineChars="200"/>
        <w:rPr>
          <w:sz w:val="24"/>
          <w:szCs w:val="24"/>
          <w:highlight w:val="none"/>
        </w:rPr>
      </w:pPr>
      <w:r>
        <w:rPr>
          <w:rFonts w:hint="eastAsia"/>
          <w:sz w:val="24"/>
          <w:szCs w:val="24"/>
          <w:highlight w:val="none"/>
        </w:rPr>
        <w:t>2.砂石余渣规划、产业政策调整等因素对乙方行使权利义务的影响；</w:t>
      </w:r>
    </w:p>
    <w:p w14:paraId="5EF37247">
      <w:pPr>
        <w:pStyle w:val="8"/>
        <w:spacing w:line="360" w:lineRule="auto"/>
        <w:ind w:firstLine="480" w:firstLineChars="200"/>
        <w:rPr>
          <w:sz w:val="24"/>
          <w:szCs w:val="24"/>
          <w:highlight w:val="none"/>
        </w:rPr>
      </w:pPr>
      <w:r>
        <w:rPr>
          <w:rFonts w:hint="eastAsia"/>
          <w:sz w:val="24"/>
          <w:szCs w:val="24"/>
          <w:highlight w:val="none"/>
        </w:rPr>
        <w:t>3.生态和环境保护、地质灾害防治、安全生产要求等对特定处置开挖方式方法的限制；</w:t>
      </w:r>
    </w:p>
    <w:p w14:paraId="3C73FC50">
      <w:pPr>
        <w:pStyle w:val="8"/>
        <w:spacing w:line="360" w:lineRule="auto"/>
        <w:ind w:firstLine="480" w:firstLineChars="200"/>
        <w:rPr>
          <w:sz w:val="24"/>
          <w:szCs w:val="24"/>
          <w:highlight w:val="none"/>
        </w:rPr>
      </w:pPr>
      <w:r>
        <w:rPr>
          <w:rFonts w:hint="eastAsia"/>
          <w:sz w:val="24"/>
          <w:szCs w:val="24"/>
          <w:highlight w:val="none"/>
        </w:rPr>
        <w:t>4.不可抗力的影响。</w:t>
      </w:r>
    </w:p>
    <w:p w14:paraId="48A35FD4">
      <w:pPr>
        <w:pStyle w:val="8"/>
        <w:spacing w:line="360" w:lineRule="auto"/>
        <w:ind w:firstLine="480" w:firstLineChars="200"/>
        <w:rPr>
          <w:sz w:val="24"/>
          <w:szCs w:val="24"/>
          <w:highlight w:val="none"/>
        </w:rPr>
      </w:pPr>
      <w:r>
        <w:rPr>
          <w:rFonts w:hint="eastAsia"/>
          <w:sz w:val="24"/>
          <w:szCs w:val="24"/>
          <w:highlight w:val="none"/>
        </w:rPr>
        <w:t>第十二条</w:t>
      </w:r>
      <w:r>
        <w:rPr>
          <w:rFonts w:hint="eastAsia"/>
          <w:sz w:val="24"/>
          <w:szCs w:val="24"/>
          <w:highlight w:val="none"/>
        </w:rPr>
        <w:tab/>
      </w:r>
      <w:r>
        <w:rPr>
          <w:rFonts w:hint="eastAsia"/>
          <w:sz w:val="24"/>
          <w:szCs w:val="24"/>
          <w:highlight w:val="none"/>
        </w:rPr>
        <w:t>甲方砂石余渣</w:t>
      </w:r>
      <w:r>
        <w:rPr>
          <w:rFonts w:hint="eastAsia"/>
          <w:sz w:val="24"/>
          <w:szCs w:val="24"/>
          <w:highlight w:val="none"/>
          <w:lang w:eastAsia="zh-CN"/>
        </w:rPr>
        <w:t>处置</w:t>
      </w:r>
      <w:r>
        <w:rPr>
          <w:rFonts w:hint="eastAsia"/>
          <w:sz w:val="24"/>
          <w:szCs w:val="24"/>
          <w:highlight w:val="none"/>
        </w:rPr>
        <w:t xml:space="preserve">款收款帐号如下： </w:t>
      </w:r>
    </w:p>
    <w:p w14:paraId="3EA02EE4">
      <w:pPr>
        <w:pStyle w:val="8"/>
        <w:spacing w:line="360" w:lineRule="auto"/>
        <w:ind w:firstLine="480" w:firstLineChars="200"/>
        <w:rPr>
          <w:sz w:val="24"/>
          <w:szCs w:val="24"/>
          <w:highlight w:val="none"/>
        </w:rPr>
      </w:pPr>
      <w:r>
        <w:rPr>
          <w:rFonts w:hint="eastAsia"/>
          <w:sz w:val="24"/>
          <w:szCs w:val="24"/>
          <w:highlight w:val="none"/>
        </w:rPr>
        <w:t>账   户  名：</w:t>
      </w:r>
    </w:p>
    <w:p w14:paraId="2233C9BB">
      <w:pPr>
        <w:pStyle w:val="8"/>
        <w:spacing w:line="360" w:lineRule="auto"/>
        <w:ind w:firstLine="480" w:firstLineChars="200"/>
        <w:rPr>
          <w:sz w:val="24"/>
          <w:szCs w:val="24"/>
          <w:highlight w:val="none"/>
        </w:rPr>
      </w:pPr>
      <w:r>
        <w:rPr>
          <w:rFonts w:hint="eastAsia"/>
          <w:sz w:val="24"/>
          <w:szCs w:val="24"/>
          <w:highlight w:val="none"/>
        </w:rPr>
        <w:t xml:space="preserve">开 户 银 行： </w:t>
      </w:r>
    </w:p>
    <w:p w14:paraId="37CEC9CD">
      <w:pPr>
        <w:pStyle w:val="8"/>
        <w:spacing w:line="360" w:lineRule="auto"/>
        <w:ind w:firstLine="480" w:firstLineChars="200"/>
        <w:rPr>
          <w:sz w:val="24"/>
          <w:szCs w:val="24"/>
          <w:highlight w:val="none"/>
        </w:rPr>
      </w:pPr>
      <w:r>
        <w:rPr>
          <w:rFonts w:hint="eastAsia"/>
          <w:sz w:val="24"/>
          <w:szCs w:val="24"/>
          <w:highlight w:val="none"/>
        </w:rPr>
        <w:t xml:space="preserve">帐      号： </w:t>
      </w:r>
    </w:p>
    <w:p w14:paraId="13208029">
      <w:pPr>
        <w:pStyle w:val="8"/>
        <w:tabs>
          <w:tab w:val="left" w:pos="2191"/>
        </w:tabs>
        <w:spacing w:line="360" w:lineRule="auto"/>
        <w:ind w:firstLine="480" w:firstLineChars="200"/>
        <w:rPr>
          <w:sz w:val="24"/>
          <w:szCs w:val="24"/>
          <w:highlight w:val="none"/>
        </w:rPr>
      </w:pPr>
      <w:r>
        <w:rPr>
          <w:rFonts w:hint="eastAsia"/>
          <w:sz w:val="24"/>
          <w:szCs w:val="24"/>
          <w:highlight w:val="none"/>
        </w:rPr>
        <w:t>第十三条    本</w:t>
      </w:r>
      <w:r>
        <w:rPr>
          <w:rFonts w:hint="eastAsia"/>
          <w:spacing w:val="-3"/>
          <w:sz w:val="24"/>
          <w:szCs w:val="24"/>
          <w:highlight w:val="none"/>
        </w:rPr>
        <w:t>合</w:t>
      </w:r>
      <w:r>
        <w:rPr>
          <w:rFonts w:hint="eastAsia"/>
          <w:sz w:val="24"/>
          <w:szCs w:val="24"/>
          <w:highlight w:val="none"/>
        </w:rPr>
        <w:t>同未</w:t>
      </w:r>
      <w:r>
        <w:rPr>
          <w:rFonts w:hint="eastAsia"/>
          <w:spacing w:val="-3"/>
          <w:sz w:val="24"/>
          <w:szCs w:val="24"/>
          <w:highlight w:val="none"/>
        </w:rPr>
        <w:t>尽</w:t>
      </w:r>
      <w:r>
        <w:rPr>
          <w:rFonts w:hint="eastAsia"/>
          <w:sz w:val="24"/>
          <w:szCs w:val="24"/>
          <w:highlight w:val="none"/>
        </w:rPr>
        <w:t>事宜</w:t>
      </w:r>
      <w:r>
        <w:rPr>
          <w:rFonts w:hint="eastAsia"/>
          <w:spacing w:val="-61"/>
          <w:sz w:val="24"/>
          <w:szCs w:val="24"/>
          <w:highlight w:val="none"/>
        </w:rPr>
        <w:t>，</w:t>
      </w:r>
      <w:r>
        <w:rPr>
          <w:rFonts w:hint="eastAsia"/>
          <w:sz w:val="24"/>
          <w:szCs w:val="24"/>
          <w:highlight w:val="none"/>
        </w:rPr>
        <w:t>按</w:t>
      </w:r>
      <w:r>
        <w:rPr>
          <w:rFonts w:hint="eastAsia"/>
          <w:spacing w:val="-3"/>
          <w:sz w:val="24"/>
          <w:szCs w:val="24"/>
          <w:highlight w:val="none"/>
        </w:rPr>
        <w:t>照</w:t>
      </w:r>
      <w:r>
        <w:rPr>
          <w:rFonts w:hint="eastAsia"/>
          <w:sz w:val="24"/>
          <w:szCs w:val="24"/>
          <w:highlight w:val="none"/>
        </w:rPr>
        <w:t>相关</w:t>
      </w:r>
      <w:r>
        <w:rPr>
          <w:rFonts w:hint="eastAsia"/>
          <w:spacing w:val="-3"/>
          <w:sz w:val="24"/>
          <w:szCs w:val="24"/>
          <w:highlight w:val="none"/>
        </w:rPr>
        <w:t>法</w:t>
      </w:r>
      <w:r>
        <w:rPr>
          <w:rFonts w:hint="eastAsia"/>
          <w:sz w:val="24"/>
          <w:szCs w:val="24"/>
          <w:highlight w:val="none"/>
        </w:rPr>
        <w:t>律法规</w:t>
      </w:r>
      <w:r>
        <w:rPr>
          <w:rFonts w:hint="eastAsia"/>
          <w:spacing w:val="-3"/>
          <w:sz w:val="24"/>
          <w:szCs w:val="24"/>
          <w:highlight w:val="none"/>
        </w:rPr>
        <w:t>的</w:t>
      </w:r>
      <w:r>
        <w:rPr>
          <w:rFonts w:hint="eastAsia"/>
          <w:sz w:val="24"/>
          <w:szCs w:val="24"/>
          <w:highlight w:val="none"/>
        </w:rPr>
        <w:t>规定</w:t>
      </w:r>
      <w:r>
        <w:rPr>
          <w:rFonts w:hint="eastAsia"/>
          <w:spacing w:val="-3"/>
          <w:sz w:val="24"/>
          <w:szCs w:val="24"/>
          <w:highlight w:val="none"/>
        </w:rPr>
        <w:t>执行</w:t>
      </w:r>
      <w:r>
        <w:rPr>
          <w:rFonts w:hint="eastAsia"/>
          <w:spacing w:val="-61"/>
          <w:sz w:val="24"/>
          <w:szCs w:val="24"/>
          <w:highlight w:val="none"/>
        </w:rPr>
        <w:t>。</w:t>
      </w:r>
      <w:r>
        <w:rPr>
          <w:rFonts w:hint="eastAsia"/>
          <w:sz w:val="24"/>
          <w:szCs w:val="24"/>
          <w:highlight w:val="none"/>
        </w:rPr>
        <w:t>法</w:t>
      </w:r>
      <w:r>
        <w:rPr>
          <w:rFonts w:hint="eastAsia"/>
          <w:spacing w:val="-3"/>
          <w:sz w:val="24"/>
          <w:szCs w:val="24"/>
          <w:highlight w:val="none"/>
        </w:rPr>
        <w:t>律</w:t>
      </w:r>
      <w:r>
        <w:rPr>
          <w:rFonts w:hint="eastAsia"/>
          <w:sz w:val="24"/>
          <w:szCs w:val="24"/>
          <w:highlight w:val="none"/>
        </w:rPr>
        <w:t>法</w:t>
      </w:r>
      <w:r>
        <w:rPr>
          <w:rFonts w:hint="eastAsia"/>
          <w:spacing w:val="-1"/>
          <w:sz w:val="24"/>
          <w:szCs w:val="24"/>
          <w:highlight w:val="none"/>
        </w:rPr>
        <w:t>规</w:t>
      </w:r>
      <w:r>
        <w:rPr>
          <w:rFonts w:hint="eastAsia"/>
          <w:spacing w:val="-3"/>
          <w:sz w:val="24"/>
          <w:szCs w:val="24"/>
          <w:highlight w:val="none"/>
        </w:rPr>
        <w:t>没</w:t>
      </w:r>
      <w:r>
        <w:rPr>
          <w:rFonts w:hint="eastAsia"/>
          <w:sz w:val="24"/>
          <w:szCs w:val="24"/>
          <w:highlight w:val="none"/>
        </w:rPr>
        <w:t>有规</w:t>
      </w:r>
      <w:r>
        <w:rPr>
          <w:rFonts w:hint="eastAsia"/>
          <w:spacing w:val="-3"/>
          <w:sz w:val="24"/>
          <w:szCs w:val="24"/>
          <w:highlight w:val="none"/>
        </w:rPr>
        <w:t>定</w:t>
      </w:r>
      <w:r>
        <w:rPr>
          <w:rFonts w:hint="eastAsia"/>
          <w:sz w:val="24"/>
          <w:szCs w:val="24"/>
          <w:highlight w:val="none"/>
        </w:rPr>
        <w:t>的</w:t>
      </w:r>
      <w:r>
        <w:rPr>
          <w:rFonts w:hint="eastAsia"/>
          <w:spacing w:val="-41"/>
          <w:sz w:val="24"/>
          <w:szCs w:val="24"/>
          <w:highlight w:val="none"/>
        </w:rPr>
        <w:t>，</w:t>
      </w:r>
      <w:r>
        <w:rPr>
          <w:rFonts w:hint="eastAsia"/>
          <w:sz w:val="24"/>
          <w:szCs w:val="24"/>
          <w:highlight w:val="none"/>
        </w:rPr>
        <w:t>双</w:t>
      </w:r>
      <w:r>
        <w:rPr>
          <w:rFonts w:hint="eastAsia"/>
          <w:spacing w:val="-3"/>
          <w:sz w:val="24"/>
          <w:szCs w:val="24"/>
          <w:highlight w:val="none"/>
        </w:rPr>
        <w:t>方</w:t>
      </w:r>
      <w:r>
        <w:rPr>
          <w:rFonts w:hint="eastAsia"/>
          <w:sz w:val="24"/>
          <w:szCs w:val="24"/>
          <w:highlight w:val="none"/>
        </w:rPr>
        <w:t>经协</w:t>
      </w:r>
      <w:r>
        <w:rPr>
          <w:rFonts w:hint="eastAsia"/>
          <w:spacing w:val="-3"/>
          <w:sz w:val="24"/>
          <w:szCs w:val="24"/>
          <w:highlight w:val="none"/>
        </w:rPr>
        <w:t>商</w:t>
      </w:r>
      <w:r>
        <w:rPr>
          <w:rFonts w:hint="eastAsia"/>
          <w:sz w:val="24"/>
          <w:szCs w:val="24"/>
          <w:highlight w:val="none"/>
        </w:rPr>
        <w:t>一致</w:t>
      </w:r>
      <w:r>
        <w:rPr>
          <w:rFonts w:hint="eastAsia"/>
          <w:spacing w:val="-3"/>
          <w:sz w:val="24"/>
          <w:szCs w:val="24"/>
          <w:highlight w:val="none"/>
        </w:rPr>
        <w:t>后</w:t>
      </w:r>
      <w:r>
        <w:rPr>
          <w:rFonts w:hint="eastAsia"/>
          <w:spacing w:val="-39"/>
          <w:sz w:val="24"/>
          <w:szCs w:val="24"/>
          <w:highlight w:val="none"/>
        </w:rPr>
        <w:t>，</w:t>
      </w:r>
      <w:r>
        <w:rPr>
          <w:rFonts w:hint="eastAsia"/>
          <w:sz w:val="24"/>
          <w:szCs w:val="24"/>
          <w:highlight w:val="none"/>
        </w:rPr>
        <w:t>可</w:t>
      </w:r>
      <w:r>
        <w:rPr>
          <w:rFonts w:hint="eastAsia"/>
          <w:spacing w:val="-3"/>
          <w:sz w:val="24"/>
          <w:szCs w:val="24"/>
          <w:highlight w:val="none"/>
        </w:rPr>
        <w:t>另</w:t>
      </w:r>
      <w:r>
        <w:rPr>
          <w:rFonts w:hint="eastAsia"/>
          <w:sz w:val="24"/>
          <w:szCs w:val="24"/>
          <w:highlight w:val="none"/>
        </w:rPr>
        <w:t>行签</w:t>
      </w:r>
      <w:r>
        <w:rPr>
          <w:rFonts w:hint="eastAsia"/>
          <w:spacing w:val="-3"/>
          <w:sz w:val="24"/>
          <w:szCs w:val="24"/>
          <w:highlight w:val="none"/>
        </w:rPr>
        <w:t>订</w:t>
      </w:r>
      <w:r>
        <w:rPr>
          <w:rFonts w:hint="eastAsia"/>
          <w:sz w:val="24"/>
          <w:szCs w:val="24"/>
          <w:highlight w:val="none"/>
        </w:rPr>
        <w:t>补充</w:t>
      </w:r>
      <w:r>
        <w:rPr>
          <w:rFonts w:hint="eastAsia"/>
          <w:spacing w:val="-3"/>
          <w:sz w:val="24"/>
          <w:szCs w:val="24"/>
          <w:highlight w:val="none"/>
        </w:rPr>
        <w:t>协</w:t>
      </w:r>
      <w:r>
        <w:rPr>
          <w:rFonts w:hint="eastAsia"/>
          <w:sz w:val="24"/>
          <w:szCs w:val="24"/>
          <w:highlight w:val="none"/>
        </w:rPr>
        <w:t>议</w:t>
      </w:r>
      <w:r>
        <w:rPr>
          <w:rFonts w:hint="eastAsia"/>
          <w:spacing w:val="-39"/>
          <w:sz w:val="24"/>
          <w:szCs w:val="24"/>
          <w:highlight w:val="none"/>
        </w:rPr>
        <w:t>。</w:t>
      </w:r>
      <w:r>
        <w:rPr>
          <w:rFonts w:hint="eastAsia"/>
          <w:sz w:val="24"/>
          <w:szCs w:val="24"/>
          <w:highlight w:val="none"/>
        </w:rPr>
        <w:t>补</w:t>
      </w:r>
      <w:r>
        <w:rPr>
          <w:rFonts w:hint="eastAsia"/>
          <w:spacing w:val="-3"/>
          <w:sz w:val="24"/>
          <w:szCs w:val="24"/>
          <w:highlight w:val="none"/>
        </w:rPr>
        <w:t>充</w:t>
      </w:r>
      <w:r>
        <w:rPr>
          <w:rFonts w:hint="eastAsia"/>
          <w:sz w:val="24"/>
          <w:szCs w:val="24"/>
          <w:highlight w:val="none"/>
        </w:rPr>
        <w:t>协议</w:t>
      </w:r>
      <w:r>
        <w:rPr>
          <w:rFonts w:hint="eastAsia"/>
          <w:spacing w:val="-3"/>
          <w:sz w:val="24"/>
          <w:szCs w:val="24"/>
          <w:highlight w:val="none"/>
        </w:rPr>
        <w:t>与</w:t>
      </w:r>
      <w:r>
        <w:rPr>
          <w:rFonts w:hint="eastAsia"/>
          <w:sz w:val="24"/>
          <w:szCs w:val="24"/>
          <w:highlight w:val="none"/>
        </w:rPr>
        <w:t>本合同具有同等法律效力。</w:t>
      </w:r>
    </w:p>
    <w:p w14:paraId="60E171B2">
      <w:pPr>
        <w:pStyle w:val="8"/>
        <w:tabs>
          <w:tab w:val="left" w:pos="2187"/>
        </w:tabs>
        <w:spacing w:line="360" w:lineRule="auto"/>
        <w:ind w:firstLine="480" w:firstLineChars="200"/>
        <w:rPr>
          <w:sz w:val="24"/>
          <w:szCs w:val="24"/>
          <w:highlight w:val="none"/>
        </w:rPr>
      </w:pPr>
      <w:r>
        <w:rPr>
          <w:rFonts w:hint="eastAsia"/>
          <w:sz w:val="24"/>
          <w:szCs w:val="24"/>
          <w:highlight w:val="none"/>
        </w:rPr>
        <w:t>第</w:t>
      </w:r>
      <w:r>
        <w:rPr>
          <w:rFonts w:hint="eastAsia"/>
          <w:spacing w:val="-3"/>
          <w:sz w:val="24"/>
          <w:szCs w:val="24"/>
          <w:highlight w:val="none"/>
        </w:rPr>
        <w:t>十</w:t>
      </w:r>
      <w:r>
        <w:rPr>
          <w:rFonts w:hint="eastAsia"/>
          <w:sz w:val="24"/>
          <w:szCs w:val="24"/>
          <w:highlight w:val="none"/>
        </w:rPr>
        <w:t>四条    因</w:t>
      </w:r>
      <w:r>
        <w:rPr>
          <w:rFonts w:hint="eastAsia"/>
          <w:spacing w:val="-3"/>
          <w:sz w:val="24"/>
          <w:szCs w:val="24"/>
          <w:highlight w:val="none"/>
        </w:rPr>
        <w:t>本</w:t>
      </w:r>
      <w:r>
        <w:rPr>
          <w:rFonts w:hint="eastAsia"/>
          <w:sz w:val="24"/>
          <w:szCs w:val="24"/>
          <w:highlight w:val="none"/>
        </w:rPr>
        <w:t>合同</w:t>
      </w:r>
      <w:r>
        <w:rPr>
          <w:rFonts w:hint="eastAsia"/>
          <w:spacing w:val="-3"/>
          <w:sz w:val="24"/>
          <w:szCs w:val="24"/>
          <w:highlight w:val="none"/>
        </w:rPr>
        <w:t>引</w:t>
      </w:r>
      <w:r>
        <w:rPr>
          <w:rFonts w:hint="eastAsia"/>
          <w:sz w:val="24"/>
          <w:szCs w:val="24"/>
          <w:highlight w:val="none"/>
        </w:rPr>
        <w:t>起纠</w:t>
      </w:r>
      <w:r>
        <w:rPr>
          <w:rFonts w:hint="eastAsia"/>
          <w:spacing w:val="-3"/>
          <w:sz w:val="24"/>
          <w:szCs w:val="24"/>
          <w:highlight w:val="none"/>
        </w:rPr>
        <w:t>纷</w:t>
      </w:r>
      <w:r>
        <w:rPr>
          <w:rFonts w:hint="eastAsia"/>
          <w:sz w:val="24"/>
          <w:szCs w:val="24"/>
          <w:highlight w:val="none"/>
        </w:rPr>
        <w:t>的</w:t>
      </w:r>
      <w:r>
        <w:rPr>
          <w:rFonts w:hint="eastAsia"/>
          <w:spacing w:val="-128"/>
          <w:sz w:val="24"/>
          <w:szCs w:val="24"/>
          <w:highlight w:val="none"/>
        </w:rPr>
        <w:t>，</w:t>
      </w:r>
      <w:r>
        <w:rPr>
          <w:rFonts w:hint="eastAsia"/>
          <w:sz w:val="24"/>
          <w:szCs w:val="24"/>
          <w:highlight w:val="none"/>
        </w:rPr>
        <w:t>由</w:t>
      </w:r>
      <w:r>
        <w:rPr>
          <w:rFonts w:hint="eastAsia"/>
          <w:spacing w:val="-3"/>
          <w:sz w:val="24"/>
          <w:szCs w:val="24"/>
          <w:highlight w:val="none"/>
        </w:rPr>
        <w:t>争</w:t>
      </w:r>
      <w:r>
        <w:rPr>
          <w:rFonts w:hint="eastAsia"/>
          <w:sz w:val="24"/>
          <w:szCs w:val="24"/>
          <w:highlight w:val="none"/>
        </w:rPr>
        <w:t>议双</w:t>
      </w:r>
      <w:r>
        <w:rPr>
          <w:rFonts w:hint="eastAsia"/>
          <w:spacing w:val="-3"/>
          <w:sz w:val="24"/>
          <w:szCs w:val="24"/>
          <w:highlight w:val="none"/>
        </w:rPr>
        <w:t>方</w:t>
      </w:r>
      <w:r>
        <w:rPr>
          <w:rFonts w:hint="eastAsia"/>
          <w:sz w:val="24"/>
          <w:szCs w:val="24"/>
          <w:highlight w:val="none"/>
        </w:rPr>
        <w:t>协商</w:t>
      </w:r>
      <w:r>
        <w:rPr>
          <w:rFonts w:hint="eastAsia"/>
          <w:spacing w:val="-3"/>
          <w:sz w:val="24"/>
          <w:szCs w:val="24"/>
          <w:highlight w:val="none"/>
        </w:rPr>
        <w:t>解</w:t>
      </w:r>
      <w:r>
        <w:rPr>
          <w:rFonts w:hint="eastAsia"/>
          <w:sz w:val="24"/>
          <w:szCs w:val="24"/>
          <w:highlight w:val="none"/>
        </w:rPr>
        <w:t>决</w:t>
      </w:r>
      <w:r>
        <w:rPr>
          <w:rFonts w:hint="eastAsia"/>
          <w:spacing w:val="-130"/>
          <w:sz w:val="24"/>
          <w:szCs w:val="24"/>
          <w:highlight w:val="none"/>
        </w:rPr>
        <w:t>，</w:t>
      </w:r>
      <w:r>
        <w:rPr>
          <w:rFonts w:hint="eastAsia"/>
          <w:sz w:val="24"/>
          <w:szCs w:val="24"/>
          <w:highlight w:val="none"/>
        </w:rPr>
        <w:t>协</w:t>
      </w:r>
      <w:r>
        <w:rPr>
          <w:rFonts w:hint="eastAsia"/>
          <w:spacing w:val="-3"/>
          <w:sz w:val="24"/>
          <w:szCs w:val="24"/>
          <w:highlight w:val="none"/>
        </w:rPr>
        <w:t>商</w:t>
      </w:r>
      <w:r>
        <w:rPr>
          <w:rFonts w:hint="eastAsia"/>
          <w:sz w:val="24"/>
          <w:szCs w:val="24"/>
          <w:highlight w:val="none"/>
        </w:rPr>
        <w:t>不成</w:t>
      </w:r>
      <w:r>
        <w:rPr>
          <w:rFonts w:hint="eastAsia"/>
          <w:spacing w:val="-3"/>
          <w:sz w:val="24"/>
          <w:szCs w:val="24"/>
          <w:highlight w:val="none"/>
        </w:rPr>
        <w:t>的</w:t>
      </w:r>
      <w:r>
        <w:rPr>
          <w:rFonts w:hint="eastAsia"/>
          <w:sz w:val="24"/>
          <w:szCs w:val="24"/>
          <w:highlight w:val="none"/>
        </w:rPr>
        <w:t>， 双</w:t>
      </w:r>
      <w:r>
        <w:rPr>
          <w:rFonts w:hint="eastAsia"/>
          <w:spacing w:val="-3"/>
          <w:sz w:val="24"/>
          <w:szCs w:val="24"/>
          <w:highlight w:val="none"/>
        </w:rPr>
        <w:t>方</w:t>
      </w:r>
      <w:r>
        <w:rPr>
          <w:rFonts w:hint="eastAsia"/>
          <w:sz w:val="24"/>
          <w:szCs w:val="24"/>
          <w:highlight w:val="none"/>
        </w:rPr>
        <w:t>同意</w:t>
      </w:r>
      <w:r>
        <w:rPr>
          <w:rFonts w:hint="eastAsia"/>
          <w:spacing w:val="-3"/>
          <w:sz w:val="24"/>
          <w:szCs w:val="24"/>
          <w:highlight w:val="none"/>
        </w:rPr>
        <w:t>向</w:t>
      </w:r>
      <w:r>
        <w:rPr>
          <w:rFonts w:hint="eastAsia"/>
          <w:sz w:val="24"/>
          <w:szCs w:val="24"/>
          <w:highlight w:val="none"/>
        </w:rPr>
        <w:t>甲方</w:t>
      </w:r>
      <w:r>
        <w:rPr>
          <w:rFonts w:hint="eastAsia"/>
          <w:spacing w:val="-3"/>
          <w:sz w:val="24"/>
          <w:szCs w:val="24"/>
          <w:highlight w:val="none"/>
          <w:lang w:val="en-US" w:eastAsia="zh-CN"/>
        </w:rPr>
        <w:t>住所地</w:t>
      </w:r>
      <w:r>
        <w:rPr>
          <w:rFonts w:hint="eastAsia"/>
          <w:sz w:val="24"/>
          <w:szCs w:val="24"/>
          <w:highlight w:val="none"/>
        </w:rPr>
        <w:t>人民</w:t>
      </w:r>
      <w:r>
        <w:rPr>
          <w:rFonts w:hint="eastAsia"/>
          <w:spacing w:val="-3"/>
          <w:sz w:val="24"/>
          <w:szCs w:val="24"/>
          <w:highlight w:val="none"/>
        </w:rPr>
        <w:t>法</w:t>
      </w:r>
      <w:r>
        <w:rPr>
          <w:rFonts w:hint="eastAsia"/>
          <w:sz w:val="24"/>
          <w:szCs w:val="24"/>
          <w:highlight w:val="none"/>
        </w:rPr>
        <w:t>院提</w:t>
      </w:r>
      <w:r>
        <w:rPr>
          <w:rFonts w:hint="eastAsia"/>
          <w:spacing w:val="-3"/>
          <w:sz w:val="24"/>
          <w:szCs w:val="24"/>
          <w:highlight w:val="none"/>
        </w:rPr>
        <w:t>起</w:t>
      </w:r>
      <w:r>
        <w:rPr>
          <w:rFonts w:hint="eastAsia"/>
          <w:sz w:val="24"/>
          <w:szCs w:val="24"/>
          <w:highlight w:val="none"/>
        </w:rPr>
        <w:t>诉讼。</w:t>
      </w:r>
    </w:p>
    <w:p w14:paraId="43D39A79">
      <w:pPr>
        <w:pStyle w:val="8"/>
        <w:tabs>
          <w:tab w:val="left" w:pos="2187"/>
        </w:tabs>
        <w:spacing w:line="360" w:lineRule="auto"/>
        <w:ind w:firstLine="480" w:firstLineChars="200"/>
        <w:rPr>
          <w:sz w:val="24"/>
          <w:szCs w:val="24"/>
          <w:highlight w:val="none"/>
        </w:rPr>
      </w:pPr>
      <w:r>
        <w:rPr>
          <w:rFonts w:hint="eastAsia"/>
          <w:sz w:val="24"/>
          <w:szCs w:val="24"/>
          <w:highlight w:val="none"/>
        </w:rPr>
        <w:t>第</w:t>
      </w:r>
      <w:r>
        <w:rPr>
          <w:rFonts w:hint="eastAsia"/>
          <w:spacing w:val="-3"/>
          <w:sz w:val="24"/>
          <w:szCs w:val="24"/>
          <w:highlight w:val="none"/>
        </w:rPr>
        <w:t>十</w:t>
      </w:r>
      <w:r>
        <w:rPr>
          <w:rFonts w:hint="eastAsia"/>
          <w:sz w:val="24"/>
          <w:szCs w:val="24"/>
          <w:highlight w:val="none"/>
        </w:rPr>
        <w:t>五条    本</w:t>
      </w:r>
      <w:r>
        <w:rPr>
          <w:rFonts w:hint="eastAsia"/>
          <w:spacing w:val="-3"/>
          <w:sz w:val="24"/>
          <w:szCs w:val="24"/>
          <w:highlight w:val="none"/>
        </w:rPr>
        <w:t>合</w:t>
      </w:r>
      <w:r>
        <w:rPr>
          <w:rFonts w:hint="eastAsia"/>
          <w:sz w:val="24"/>
          <w:szCs w:val="24"/>
          <w:highlight w:val="none"/>
        </w:rPr>
        <w:t>同一式</w:t>
      </w:r>
      <w:r>
        <w:rPr>
          <w:rFonts w:hint="eastAsia"/>
          <w:sz w:val="24"/>
          <w:szCs w:val="24"/>
          <w:highlight w:val="none"/>
          <w:u w:val="single"/>
        </w:rPr>
        <w:t xml:space="preserve"> 陆 </w:t>
      </w:r>
      <w:r>
        <w:rPr>
          <w:rFonts w:hint="eastAsia"/>
          <w:sz w:val="24"/>
          <w:szCs w:val="24"/>
          <w:highlight w:val="none"/>
        </w:rPr>
        <w:t>份</w:t>
      </w:r>
      <w:r>
        <w:rPr>
          <w:rFonts w:hint="eastAsia"/>
          <w:spacing w:val="-61"/>
          <w:sz w:val="24"/>
          <w:szCs w:val="24"/>
          <w:highlight w:val="none"/>
        </w:rPr>
        <w:t>，</w:t>
      </w:r>
      <w:r>
        <w:rPr>
          <w:rFonts w:hint="eastAsia"/>
          <w:sz w:val="24"/>
          <w:szCs w:val="24"/>
          <w:highlight w:val="none"/>
        </w:rPr>
        <w:t>甲</w:t>
      </w:r>
      <w:r>
        <w:rPr>
          <w:rFonts w:hint="eastAsia"/>
          <w:spacing w:val="-3"/>
          <w:sz w:val="24"/>
          <w:szCs w:val="24"/>
          <w:highlight w:val="none"/>
        </w:rPr>
        <w:t>乙</w:t>
      </w:r>
      <w:r>
        <w:rPr>
          <w:rFonts w:hint="eastAsia"/>
          <w:sz w:val="24"/>
          <w:szCs w:val="24"/>
          <w:highlight w:val="none"/>
        </w:rPr>
        <w:t>双方</w:t>
      </w:r>
      <w:r>
        <w:rPr>
          <w:rFonts w:hint="eastAsia"/>
          <w:spacing w:val="-3"/>
          <w:sz w:val="24"/>
          <w:szCs w:val="24"/>
          <w:highlight w:val="none"/>
        </w:rPr>
        <w:t>各</w:t>
      </w:r>
      <w:r>
        <w:rPr>
          <w:rFonts w:hint="eastAsia"/>
          <w:sz w:val="24"/>
          <w:szCs w:val="24"/>
          <w:highlight w:val="none"/>
        </w:rPr>
        <w:t>持</w:t>
      </w:r>
      <w:r>
        <w:rPr>
          <w:rFonts w:hint="eastAsia"/>
          <w:sz w:val="24"/>
          <w:szCs w:val="24"/>
          <w:highlight w:val="none"/>
          <w:u w:val="single"/>
        </w:rPr>
        <w:t xml:space="preserve"> 叁 </w:t>
      </w:r>
      <w:r>
        <w:rPr>
          <w:rFonts w:hint="eastAsia"/>
          <w:sz w:val="24"/>
          <w:szCs w:val="24"/>
          <w:highlight w:val="none"/>
        </w:rPr>
        <w:t>份，</w:t>
      </w:r>
      <w:r>
        <w:rPr>
          <w:rFonts w:hint="eastAsia"/>
          <w:spacing w:val="-3"/>
          <w:sz w:val="24"/>
          <w:szCs w:val="24"/>
          <w:highlight w:val="none"/>
        </w:rPr>
        <w:t>具有同等法律效力</w:t>
      </w:r>
      <w:r>
        <w:rPr>
          <w:rFonts w:hint="eastAsia"/>
          <w:sz w:val="24"/>
          <w:szCs w:val="24"/>
          <w:highlight w:val="none"/>
        </w:rPr>
        <w:t>。</w:t>
      </w:r>
    </w:p>
    <w:p w14:paraId="27D9E182">
      <w:pPr>
        <w:pStyle w:val="8"/>
        <w:tabs>
          <w:tab w:val="left" w:pos="2187"/>
        </w:tabs>
        <w:spacing w:line="360" w:lineRule="auto"/>
        <w:ind w:firstLine="480" w:firstLineChars="200"/>
        <w:rPr>
          <w:sz w:val="24"/>
          <w:szCs w:val="24"/>
          <w:highlight w:val="none"/>
        </w:rPr>
      </w:pPr>
      <w:r>
        <w:rPr>
          <w:rFonts w:hint="eastAsia"/>
          <w:sz w:val="24"/>
          <w:szCs w:val="24"/>
          <w:highlight w:val="none"/>
        </w:rPr>
        <w:t>第十六条    合同生效</w:t>
      </w:r>
    </w:p>
    <w:p w14:paraId="6CAD11FD">
      <w:pPr>
        <w:spacing w:line="360" w:lineRule="auto"/>
        <w:ind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合同订立时间：</w:t>
      </w:r>
      <w:r>
        <w:rPr>
          <w:rFonts w:hint="eastAsia" w:ascii="宋体" w:hAnsi="宋体" w:cs="宋体"/>
          <w:spacing w:val="-3"/>
          <w:sz w:val="24"/>
          <w:szCs w:val="24"/>
          <w:highlight w:val="none"/>
          <w:u w:val="single"/>
        </w:rPr>
        <w:t xml:space="preserve">       </w:t>
      </w:r>
      <w:r>
        <w:rPr>
          <w:rFonts w:hint="eastAsia" w:ascii="宋体" w:hAnsi="宋体" w:cs="宋体"/>
          <w:spacing w:val="-3"/>
          <w:sz w:val="24"/>
          <w:szCs w:val="24"/>
          <w:highlight w:val="none"/>
        </w:rPr>
        <w:t>年</w:t>
      </w:r>
      <w:r>
        <w:rPr>
          <w:rFonts w:hint="eastAsia" w:ascii="宋体" w:hAnsi="宋体" w:cs="宋体"/>
          <w:spacing w:val="-3"/>
          <w:sz w:val="24"/>
          <w:szCs w:val="24"/>
          <w:highlight w:val="none"/>
          <w:u w:val="single"/>
        </w:rPr>
        <w:t xml:space="preserve">    </w:t>
      </w:r>
      <w:r>
        <w:rPr>
          <w:rFonts w:hint="eastAsia" w:ascii="宋体" w:hAnsi="宋体" w:cs="宋体"/>
          <w:spacing w:val="-3"/>
          <w:sz w:val="24"/>
          <w:szCs w:val="24"/>
          <w:highlight w:val="none"/>
        </w:rPr>
        <w:t>月</w:t>
      </w:r>
      <w:r>
        <w:rPr>
          <w:rFonts w:hint="eastAsia" w:ascii="宋体" w:hAnsi="宋体" w:cs="宋体"/>
          <w:spacing w:val="-3"/>
          <w:sz w:val="24"/>
          <w:szCs w:val="24"/>
          <w:highlight w:val="none"/>
          <w:u w:val="single"/>
        </w:rPr>
        <w:t xml:space="preserve">    </w:t>
      </w:r>
      <w:r>
        <w:rPr>
          <w:rFonts w:hint="eastAsia" w:ascii="宋体" w:hAnsi="宋体" w:cs="宋体"/>
          <w:spacing w:val="-3"/>
          <w:sz w:val="24"/>
          <w:szCs w:val="24"/>
          <w:highlight w:val="none"/>
        </w:rPr>
        <w:t>日</w:t>
      </w:r>
    </w:p>
    <w:p w14:paraId="469807FA">
      <w:pPr>
        <w:spacing w:line="360" w:lineRule="auto"/>
        <w:ind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 xml:space="preserve">合同订立地点： 惠州大亚湾经济技术开发区     </w:t>
      </w:r>
    </w:p>
    <w:p w14:paraId="5176DF68">
      <w:pPr>
        <w:spacing w:line="360" w:lineRule="auto"/>
        <w:ind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本合同经双方法定代表人或其委托代理人签署并盖章后成立，在甲方收到乙方按合同约定提供履约保证金/银行保函后生效。</w:t>
      </w:r>
    </w:p>
    <w:p w14:paraId="58656D9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第十七条    本合同包含以下附件</w:t>
      </w:r>
      <w:r>
        <w:rPr>
          <w:rFonts w:hint="eastAsia" w:ascii="宋体" w:hAnsi="宋体" w:cs="宋体"/>
          <w:sz w:val="24"/>
          <w:szCs w:val="24"/>
          <w:highlight w:val="none"/>
          <w:u w:val="single"/>
        </w:rPr>
        <w:t xml:space="preserve"> 贰 </w:t>
      </w:r>
      <w:r>
        <w:rPr>
          <w:rFonts w:hint="eastAsia" w:ascii="宋体" w:hAnsi="宋体" w:cs="宋体"/>
          <w:sz w:val="24"/>
          <w:szCs w:val="24"/>
          <w:highlight w:val="none"/>
        </w:rPr>
        <w:t>份，作为本合同不可分割的组成部分，附件与合同正文不一致之处，以正文为准：</w:t>
      </w:r>
      <w:bookmarkStart w:id="4" w:name="_Toc3715_WPSOffice_Level1"/>
      <w:bookmarkStart w:id="5" w:name="_Toc30959_WPSOffice_Level1"/>
      <w:bookmarkStart w:id="6" w:name="_Toc3667_WPSOffice_Level1"/>
    </w:p>
    <w:p w14:paraId="462A781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附件1：</w:t>
      </w:r>
      <w:bookmarkEnd w:id="4"/>
      <w:bookmarkEnd w:id="5"/>
      <w:bookmarkEnd w:id="6"/>
      <w:r>
        <w:rPr>
          <w:rFonts w:hint="eastAsia" w:ascii="宋体" w:hAnsi="宋体" w:cs="宋体"/>
          <w:sz w:val="24"/>
          <w:szCs w:val="24"/>
          <w:highlight w:val="none"/>
        </w:rPr>
        <w:t>安全生产管理协议</w:t>
      </w:r>
    </w:p>
    <w:p w14:paraId="664E38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附件2：廉洁协议</w:t>
      </w:r>
    </w:p>
    <w:p w14:paraId="61C8B31E">
      <w:pPr>
        <w:spacing w:line="360" w:lineRule="auto"/>
        <w:ind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本合同未尽事宜，甲乙双方可另行签订补充协议。</w:t>
      </w:r>
    </w:p>
    <w:p w14:paraId="6B8C7DC8">
      <w:pPr>
        <w:spacing w:line="360" w:lineRule="auto"/>
        <w:ind w:firstLine="409" w:firstLineChars="175"/>
        <w:rPr>
          <w:rFonts w:ascii="宋体" w:hAnsi="宋体" w:cs="宋体"/>
          <w:spacing w:val="-3"/>
          <w:sz w:val="24"/>
          <w:szCs w:val="24"/>
          <w:highlight w:val="none"/>
        </w:rPr>
      </w:pPr>
      <w:r>
        <w:rPr>
          <w:rFonts w:hint="eastAsia" w:ascii="宋体" w:hAnsi="宋体" w:cs="宋体"/>
          <w:spacing w:val="-3"/>
          <w:sz w:val="24"/>
          <w:szCs w:val="24"/>
          <w:highlight w:val="none"/>
        </w:rPr>
        <w:t>（以下无正文）</w:t>
      </w:r>
    </w:p>
    <w:p w14:paraId="07C2537A">
      <w:pPr>
        <w:pStyle w:val="8"/>
        <w:tabs>
          <w:tab w:val="left" w:pos="2187"/>
        </w:tabs>
        <w:spacing w:line="360" w:lineRule="auto"/>
        <w:ind w:firstLine="480" w:firstLineChars="200"/>
        <w:rPr>
          <w:sz w:val="24"/>
          <w:szCs w:val="24"/>
          <w:highlight w:val="none"/>
        </w:rPr>
      </w:pPr>
    </w:p>
    <w:p w14:paraId="45091F80">
      <w:pPr>
        <w:pStyle w:val="8"/>
        <w:tabs>
          <w:tab w:val="left" w:pos="2748"/>
          <w:tab w:val="left" w:pos="8136"/>
        </w:tabs>
        <w:spacing w:before="203" w:line="360" w:lineRule="auto"/>
        <w:ind w:right="1308"/>
        <w:rPr>
          <w:spacing w:val="-3"/>
          <w:sz w:val="24"/>
          <w:szCs w:val="24"/>
          <w:highlight w:val="none"/>
        </w:rPr>
      </w:pPr>
      <w:r>
        <w:rPr>
          <w:rFonts w:hint="eastAsia"/>
          <w:spacing w:val="-3"/>
          <w:sz w:val="24"/>
          <w:szCs w:val="24"/>
          <w:highlight w:val="none"/>
        </w:rPr>
        <w:t>甲方（盖章）：惠州大亚湾环境水务集团有限公司</w:t>
      </w:r>
    </w:p>
    <w:p w14:paraId="0A0A437A">
      <w:pPr>
        <w:pStyle w:val="8"/>
        <w:tabs>
          <w:tab w:val="left" w:pos="2748"/>
          <w:tab w:val="left" w:pos="8136"/>
        </w:tabs>
        <w:spacing w:before="203" w:line="360" w:lineRule="auto"/>
        <w:ind w:right="1308"/>
        <w:rPr>
          <w:spacing w:val="-3"/>
          <w:sz w:val="24"/>
          <w:szCs w:val="24"/>
          <w:highlight w:val="none"/>
        </w:rPr>
      </w:pPr>
      <w:r>
        <w:rPr>
          <w:rFonts w:hint="eastAsia"/>
          <w:spacing w:val="-3"/>
          <w:sz w:val="24"/>
          <w:szCs w:val="24"/>
          <w:highlight w:val="none"/>
        </w:rPr>
        <w:t xml:space="preserve">法定代表人或授权委托人（签字）：            </w:t>
      </w:r>
      <w:r>
        <w:rPr>
          <w:rFonts w:hint="eastAsia"/>
          <w:spacing w:val="-3"/>
          <w:sz w:val="24"/>
          <w:szCs w:val="24"/>
          <w:highlight w:val="none"/>
        </w:rPr>
        <w:tab/>
      </w:r>
      <w:r>
        <w:rPr>
          <w:rFonts w:hint="eastAsia"/>
          <w:spacing w:val="-3"/>
          <w:sz w:val="24"/>
          <w:szCs w:val="24"/>
          <w:highlight w:val="none"/>
        </w:rPr>
        <w:t xml:space="preserve"> </w:t>
      </w:r>
    </w:p>
    <w:p w14:paraId="46CB47DB">
      <w:pPr>
        <w:pStyle w:val="8"/>
        <w:tabs>
          <w:tab w:val="left" w:pos="2748"/>
          <w:tab w:val="left" w:pos="8136"/>
        </w:tabs>
        <w:spacing w:before="203" w:line="360" w:lineRule="auto"/>
        <w:ind w:right="1308"/>
        <w:rPr>
          <w:spacing w:val="-3"/>
          <w:sz w:val="24"/>
          <w:szCs w:val="24"/>
          <w:highlight w:val="none"/>
        </w:rPr>
      </w:pPr>
      <w:r>
        <w:rPr>
          <w:rFonts w:hint="eastAsia"/>
          <w:spacing w:val="-3"/>
          <w:sz w:val="24"/>
          <w:szCs w:val="24"/>
          <w:highlight w:val="none"/>
        </w:rPr>
        <w:t>时间：</w:t>
      </w:r>
      <w:r>
        <w:rPr>
          <w:rFonts w:hint="eastAsia"/>
          <w:spacing w:val="-3"/>
          <w:sz w:val="24"/>
          <w:szCs w:val="24"/>
          <w:highlight w:val="none"/>
          <w:u w:val="single"/>
        </w:rPr>
        <w:t xml:space="preserve">     </w:t>
      </w:r>
      <w:r>
        <w:rPr>
          <w:rFonts w:hint="eastAsia"/>
          <w:spacing w:val="-3"/>
          <w:sz w:val="24"/>
          <w:szCs w:val="24"/>
          <w:highlight w:val="none"/>
        </w:rPr>
        <w:t xml:space="preserve">年 </w:t>
      </w:r>
      <w:r>
        <w:rPr>
          <w:rFonts w:hint="eastAsia"/>
          <w:spacing w:val="-3"/>
          <w:sz w:val="24"/>
          <w:szCs w:val="24"/>
          <w:highlight w:val="none"/>
          <w:u w:val="single"/>
        </w:rPr>
        <w:t xml:space="preserve">       </w:t>
      </w:r>
      <w:r>
        <w:rPr>
          <w:rFonts w:hint="eastAsia"/>
          <w:spacing w:val="-3"/>
          <w:sz w:val="24"/>
          <w:szCs w:val="24"/>
          <w:highlight w:val="none"/>
        </w:rPr>
        <w:t xml:space="preserve">月 </w:t>
      </w:r>
      <w:r>
        <w:rPr>
          <w:rFonts w:hint="eastAsia"/>
          <w:spacing w:val="-3"/>
          <w:sz w:val="24"/>
          <w:szCs w:val="24"/>
          <w:highlight w:val="none"/>
          <w:u w:val="single"/>
        </w:rPr>
        <w:t xml:space="preserve">       </w:t>
      </w:r>
      <w:r>
        <w:rPr>
          <w:rFonts w:hint="eastAsia"/>
          <w:spacing w:val="-3"/>
          <w:sz w:val="24"/>
          <w:szCs w:val="24"/>
          <w:highlight w:val="none"/>
        </w:rPr>
        <w:t>日</w:t>
      </w:r>
    </w:p>
    <w:p w14:paraId="7F9080A9">
      <w:pPr>
        <w:pStyle w:val="8"/>
        <w:spacing w:line="360" w:lineRule="auto"/>
        <w:rPr>
          <w:spacing w:val="-3"/>
          <w:sz w:val="24"/>
          <w:szCs w:val="24"/>
          <w:highlight w:val="none"/>
        </w:rPr>
      </w:pPr>
    </w:p>
    <w:p w14:paraId="65A4C702">
      <w:pPr>
        <w:pStyle w:val="8"/>
        <w:spacing w:line="360" w:lineRule="auto"/>
        <w:rPr>
          <w:spacing w:val="-3"/>
          <w:sz w:val="24"/>
          <w:szCs w:val="24"/>
          <w:highlight w:val="none"/>
        </w:rPr>
      </w:pPr>
    </w:p>
    <w:p w14:paraId="7D737C0D">
      <w:pPr>
        <w:pStyle w:val="8"/>
        <w:spacing w:before="5" w:line="360" w:lineRule="auto"/>
        <w:rPr>
          <w:spacing w:val="-3"/>
          <w:sz w:val="24"/>
          <w:szCs w:val="24"/>
          <w:highlight w:val="none"/>
        </w:rPr>
      </w:pPr>
    </w:p>
    <w:p w14:paraId="526B073E">
      <w:pPr>
        <w:pStyle w:val="8"/>
        <w:spacing w:line="360" w:lineRule="auto"/>
        <w:rPr>
          <w:spacing w:val="-3"/>
          <w:sz w:val="24"/>
          <w:szCs w:val="24"/>
          <w:highlight w:val="none"/>
        </w:rPr>
      </w:pPr>
      <w:r>
        <w:rPr>
          <w:rFonts w:hint="eastAsia"/>
          <w:spacing w:val="-3"/>
          <w:sz w:val="24"/>
          <w:szCs w:val="24"/>
          <w:highlight w:val="none"/>
        </w:rPr>
        <w:t xml:space="preserve">乙方（盖章）： </w:t>
      </w:r>
    </w:p>
    <w:p w14:paraId="6F01AD90">
      <w:pPr>
        <w:pStyle w:val="8"/>
        <w:tabs>
          <w:tab w:val="left" w:pos="2748"/>
          <w:tab w:val="left" w:pos="3588"/>
          <w:tab w:val="left" w:pos="4428"/>
          <w:tab w:val="left" w:pos="8136"/>
        </w:tabs>
        <w:spacing w:before="203" w:line="360" w:lineRule="auto"/>
        <w:ind w:right="1308"/>
        <w:rPr>
          <w:spacing w:val="-3"/>
          <w:sz w:val="24"/>
          <w:szCs w:val="24"/>
          <w:highlight w:val="none"/>
        </w:rPr>
      </w:pPr>
      <w:r>
        <w:rPr>
          <w:rFonts w:hint="eastAsia"/>
          <w:spacing w:val="-3"/>
          <w:sz w:val="24"/>
          <w:szCs w:val="24"/>
          <w:highlight w:val="none"/>
        </w:rPr>
        <w:t xml:space="preserve">法定代表人或授权委托人（签字）：            </w:t>
      </w:r>
      <w:r>
        <w:rPr>
          <w:rFonts w:hint="eastAsia"/>
          <w:spacing w:val="-3"/>
          <w:sz w:val="24"/>
          <w:szCs w:val="24"/>
          <w:highlight w:val="none"/>
        </w:rPr>
        <w:tab/>
      </w:r>
      <w:r>
        <w:rPr>
          <w:rFonts w:hint="eastAsia"/>
          <w:spacing w:val="-3"/>
          <w:sz w:val="24"/>
          <w:szCs w:val="24"/>
          <w:highlight w:val="none"/>
        </w:rPr>
        <w:t xml:space="preserve"> </w:t>
      </w:r>
    </w:p>
    <w:p w14:paraId="2E6C5790">
      <w:pPr>
        <w:pStyle w:val="8"/>
        <w:tabs>
          <w:tab w:val="left" w:pos="2748"/>
          <w:tab w:val="left" w:pos="8136"/>
        </w:tabs>
        <w:spacing w:before="203" w:line="360" w:lineRule="auto"/>
        <w:ind w:right="1308"/>
        <w:rPr>
          <w:spacing w:val="-3"/>
          <w:sz w:val="24"/>
          <w:szCs w:val="24"/>
          <w:highlight w:val="none"/>
        </w:rPr>
      </w:pPr>
      <w:r>
        <w:rPr>
          <w:rFonts w:hint="eastAsia"/>
          <w:spacing w:val="-3"/>
          <w:sz w:val="24"/>
          <w:szCs w:val="24"/>
          <w:highlight w:val="none"/>
        </w:rPr>
        <w:t>时间：</w:t>
      </w:r>
      <w:r>
        <w:rPr>
          <w:rFonts w:hint="eastAsia"/>
          <w:spacing w:val="-3"/>
          <w:sz w:val="24"/>
          <w:szCs w:val="24"/>
          <w:highlight w:val="none"/>
          <w:u w:val="single"/>
        </w:rPr>
        <w:t xml:space="preserve">     </w:t>
      </w:r>
      <w:r>
        <w:rPr>
          <w:rFonts w:hint="eastAsia"/>
          <w:spacing w:val="-3"/>
          <w:sz w:val="24"/>
          <w:szCs w:val="24"/>
          <w:highlight w:val="none"/>
        </w:rPr>
        <w:t xml:space="preserve">年 </w:t>
      </w:r>
      <w:r>
        <w:rPr>
          <w:rFonts w:hint="eastAsia"/>
          <w:spacing w:val="-3"/>
          <w:sz w:val="24"/>
          <w:szCs w:val="24"/>
          <w:highlight w:val="none"/>
          <w:u w:val="single"/>
        </w:rPr>
        <w:t xml:space="preserve">       </w:t>
      </w:r>
      <w:r>
        <w:rPr>
          <w:rFonts w:hint="eastAsia"/>
          <w:spacing w:val="-3"/>
          <w:sz w:val="24"/>
          <w:szCs w:val="24"/>
          <w:highlight w:val="none"/>
        </w:rPr>
        <w:t xml:space="preserve">月 </w:t>
      </w:r>
      <w:r>
        <w:rPr>
          <w:rFonts w:hint="eastAsia"/>
          <w:spacing w:val="-3"/>
          <w:sz w:val="24"/>
          <w:szCs w:val="24"/>
          <w:highlight w:val="none"/>
          <w:u w:val="single"/>
        </w:rPr>
        <w:t xml:space="preserve">       </w:t>
      </w:r>
      <w:r>
        <w:rPr>
          <w:rFonts w:hint="eastAsia"/>
          <w:spacing w:val="-3"/>
          <w:sz w:val="24"/>
          <w:szCs w:val="24"/>
          <w:highlight w:val="none"/>
        </w:rPr>
        <w:t>日</w:t>
      </w:r>
    </w:p>
    <w:p w14:paraId="0D67F8AC">
      <w:pPr>
        <w:rPr>
          <w:rFonts w:ascii="宋体" w:hAnsi="宋体" w:cs="宋体"/>
          <w:highlight w:val="none"/>
        </w:rPr>
      </w:pPr>
    </w:p>
    <w:p w14:paraId="1DEB3E8E">
      <w:pPr>
        <w:spacing w:line="360" w:lineRule="auto"/>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附件1：《安全生产管理协议》</w:t>
      </w:r>
    </w:p>
    <w:p w14:paraId="64CBA2B4">
      <w:pPr>
        <w:jc w:val="center"/>
        <w:rPr>
          <w:sz w:val="44"/>
          <w:szCs w:val="44"/>
          <w:highlight w:val="none"/>
        </w:rPr>
      </w:pPr>
      <w:r>
        <w:rPr>
          <w:rFonts w:hint="eastAsia"/>
          <w:sz w:val="44"/>
          <w:szCs w:val="44"/>
          <w:highlight w:val="none"/>
        </w:rPr>
        <w:t>安全生产管理协议</w:t>
      </w:r>
    </w:p>
    <w:p w14:paraId="732DBA6A">
      <w:pPr>
        <w:pStyle w:val="8"/>
        <w:tabs>
          <w:tab w:val="left" w:pos="2191"/>
        </w:tabs>
        <w:spacing w:line="360" w:lineRule="auto"/>
        <w:ind w:firstLine="480" w:firstLineChars="200"/>
        <w:rPr>
          <w:sz w:val="24"/>
          <w:szCs w:val="24"/>
          <w:highlight w:val="none"/>
        </w:rPr>
      </w:pPr>
      <w:r>
        <w:rPr>
          <w:rFonts w:hint="eastAsia"/>
          <w:sz w:val="24"/>
          <w:szCs w:val="24"/>
          <w:highlight w:val="none"/>
        </w:rPr>
        <w:t>甲方：</w:t>
      </w:r>
    </w:p>
    <w:p w14:paraId="3C556B58">
      <w:pPr>
        <w:pStyle w:val="8"/>
        <w:tabs>
          <w:tab w:val="left" w:pos="2191"/>
        </w:tabs>
        <w:spacing w:line="360" w:lineRule="auto"/>
        <w:ind w:firstLine="480" w:firstLineChars="200"/>
        <w:rPr>
          <w:sz w:val="24"/>
          <w:szCs w:val="24"/>
          <w:highlight w:val="none"/>
        </w:rPr>
      </w:pPr>
    </w:p>
    <w:p w14:paraId="3403EC1B">
      <w:pPr>
        <w:pStyle w:val="8"/>
        <w:tabs>
          <w:tab w:val="left" w:pos="2191"/>
        </w:tabs>
        <w:spacing w:line="360" w:lineRule="auto"/>
        <w:ind w:firstLine="480" w:firstLineChars="200"/>
        <w:rPr>
          <w:sz w:val="24"/>
          <w:szCs w:val="24"/>
          <w:highlight w:val="none"/>
        </w:rPr>
      </w:pPr>
      <w:r>
        <w:rPr>
          <w:rFonts w:hint="eastAsia"/>
          <w:sz w:val="24"/>
          <w:szCs w:val="24"/>
          <w:highlight w:val="none"/>
        </w:rPr>
        <w:t>乙方：</w:t>
      </w:r>
    </w:p>
    <w:p w14:paraId="1585992F">
      <w:pPr>
        <w:pStyle w:val="8"/>
        <w:tabs>
          <w:tab w:val="left" w:pos="2191"/>
        </w:tabs>
        <w:autoSpaceDE/>
        <w:autoSpaceDN/>
        <w:spacing w:line="460" w:lineRule="atLeast"/>
        <w:ind w:firstLine="480" w:firstLineChars="200"/>
        <w:rPr>
          <w:sz w:val="24"/>
          <w:szCs w:val="24"/>
          <w:highlight w:val="none"/>
        </w:rPr>
      </w:pPr>
    </w:p>
    <w:p w14:paraId="41525D97">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为加强大亚湾霞涌坜下（新材料产业园地块）砂石余渣处置</w:t>
      </w:r>
      <w:r>
        <w:rPr>
          <w:rFonts w:hint="eastAsia"/>
          <w:sz w:val="24"/>
          <w:szCs w:val="24"/>
          <w:highlight w:val="none"/>
          <w:lang w:eastAsia="zh-CN"/>
        </w:rPr>
        <w:t>项目</w:t>
      </w:r>
      <w:r>
        <w:rPr>
          <w:rFonts w:hint="eastAsia"/>
          <w:sz w:val="24"/>
          <w:szCs w:val="24"/>
          <w:highlight w:val="none"/>
        </w:rPr>
        <w:t>（大亚湾石化拓展区三区重叠区域）</w:t>
      </w:r>
      <w:r>
        <w:rPr>
          <w:rFonts w:hint="eastAsia"/>
          <w:sz w:val="24"/>
          <w:szCs w:val="24"/>
          <w:highlight w:val="none"/>
          <w:lang w:eastAsia="zh-CN"/>
        </w:rPr>
        <w:t>处置合同</w:t>
      </w:r>
      <w:r>
        <w:rPr>
          <w:rFonts w:hint="eastAsia"/>
          <w:sz w:val="24"/>
          <w:szCs w:val="24"/>
          <w:highlight w:val="none"/>
        </w:rPr>
        <w:t>（</w:t>
      </w:r>
      <w:r>
        <w:rPr>
          <w:rFonts w:hint="eastAsia"/>
          <w:sz w:val="24"/>
          <w:szCs w:val="24"/>
          <w:highlight w:val="none"/>
          <w:lang w:val="en-US" w:eastAsia="zh-CN"/>
        </w:rPr>
        <w:t>下称</w:t>
      </w:r>
      <w:r>
        <w:rPr>
          <w:rFonts w:hint="eastAsia"/>
          <w:sz w:val="24"/>
          <w:szCs w:val="24"/>
          <w:highlight w:val="none"/>
        </w:rPr>
        <w:t>“主合同”）项目安全生产管理，保障双方合法权益，依据《安全生产法》《职业病防治法》《民法典》《刑法》等法规及大亚湾经济技术开发区本地规范要求，经双方协商一致，订立本协议。</w:t>
      </w:r>
    </w:p>
    <w:p w14:paraId="0FDD4891">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一、总则</w:t>
      </w:r>
    </w:p>
    <w:p w14:paraId="3735ACEE">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（一）目的与依据</w:t>
      </w:r>
    </w:p>
    <w:p w14:paraId="21380087">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为明确甲乙双方在</w:t>
      </w:r>
      <w:r>
        <w:rPr>
          <w:rFonts w:hint="eastAsia"/>
          <w:sz w:val="24"/>
          <w:szCs w:val="24"/>
          <w:highlight w:val="none"/>
          <w:lang w:val="en-US" w:eastAsia="zh-CN"/>
        </w:rPr>
        <w:t>主合同履行</w:t>
      </w:r>
      <w:r>
        <w:rPr>
          <w:rFonts w:hint="eastAsia"/>
          <w:sz w:val="24"/>
          <w:szCs w:val="24"/>
          <w:highlight w:val="none"/>
        </w:rPr>
        <w:t>中的安全生产管理责任，确保生产作业过程安全有序，保障人员生命财产安全，依据国家相关法律法规，结合项目实际，制定本协议。</w:t>
      </w:r>
    </w:p>
    <w:p w14:paraId="7C78FB41">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（二）适用范围</w:t>
      </w:r>
    </w:p>
    <w:p w14:paraId="484BE001">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本协议适用于</w:t>
      </w:r>
      <w:r>
        <w:rPr>
          <w:rFonts w:hint="eastAsia"/>
          <w:sz w:val="24"/>
          <w:szCs w:val="24"/>
          <w:highlight w:val="none"/>
          <w:lang w:val="en-US" w:eastAsia="zh-CN"/>
        </w:rPr>
        <w:t>主合同履行</w:t>
      </w:r>
      <w:r>
        <w:rPr>
          <w:rFonts w:hint="eastAsia"/>
          <w:sz w:val="24"/>
          <w:szCs w:val="24"/>
          <w:highlight w:val="none"/>
        </w:rPr>
        <w:t>全过程，涵盖乙方生产准备、作业实施、竣工验收等各阶段，及双方在项目安全生产管理方面涉及的所有活动与事项。</w:t>
      </w:r>
    </w:p>
    <w:p w14:paraId="21DD55B7">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（三）安全生产控制目标、方针与原则</w:t>
      </w:r>
    </w:p>
    <w:p w14:paraId="432E0EAB">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秉持“安全第一、预防为主、综合治理”方针，将安全生产贯穿项目始终，确保安全生产无事故。</w:t>
      </w:r>
    </w:p>
    <w:p w14:paraId="58F59102">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二、双方共同责任</w:t>
      </w:r>
    </w:p>
    <w:p w14:paraId="5FC8E03A">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双方应严格遵守国家安全生产法律法规、行业标准及项目所在地地方政府相关规定，将法律要求融入项目管理各环节，确保处置作业合法合规。</w:t>
      </w:r>
    </w:p>
    <w:p w14:paraId="384EFD7E">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三、甲方安全生产责任</w:t>
      </w:r>
    </w:p>
    <w:p w14:paraId="495F9E3E">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处置期间，甲方不定期检查乙方安全制度执行、安全措施落实、现场安全管理等情况，对发现的安全问题及时指出，对重大隐患有权停工整顿，确保安全。</w:t>
      </w:r>
    </w:p>
    <w:p w14:paraId="744697B2">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四、乙方安全生产责任</w:t>
      </w:r>
    </w:p>
    <w:p w14:paraId="53368C70">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（一）安全生产管理机构与人员配备</w:t>
      </w:r>
    </w:p>
    <w:p w14:paraId="6EB6796E">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乙方依法设立安全生产管理机构，配备足够数量、具备专业资质的安全管理人员，负责过程安全管理工作，确保安全管理体系有效运行。</w:t>
      </w:r>
    </w:p>
    <w:p w14:paraId="695D5B82">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（二）安全教育培训</w:t>
      </w:r>
    </w:p>
    <w:p w14:paraId="3D8C6F75">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乙方应及时组织员工参加安全教育培训，涵盖新员工三级教育、特种作业人员专项培训、经常性安全教育等，保证员工具备必要安全生产知识，熟悉规章制度和操作规程，考核合格后上岗。</w:t>
      </w:r>
    </w:p>
    <w:p w14:paraId="4F9C9E31">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（三）处置作业组织与现场管理</w:t>
      </w:r>
    </w:p>
    <w:p w14:paraId="466D8A9A">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乙方应严格按照合同要求编制科学合理的处置方案，并严格执行；现场设置明显安全警示标志，采取防护措施，防止无关人员进入；合理规划作业区域，确保材料堆放整齐、通道畅通。</w:t>
      </w:r>
    </w:p>
    <w:p w14:paraId="736B16C0">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（四）安全设施与设备管理</w:t>
      </w:r>
    </w:p>
    <w:p w14:paraId="6E54B7A9">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当负责施工现场内的安全设施的建立、正常使用和维护工作；并应在有较大危险因素的场所、设施、设备上设置明显的符合国家标准的安全警示标志。乙方采购、租赁符合国家标准或行业标准的安全设施设备，定期维护保养，确保正常运行；特种设备依法检测检验，取得安全使用证或标志后投入使用。</w:t>
      </w:r>
    </w:p>
    <w:p w14:paraId="4316CE99">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（五）危险作业管理</w:t>
      </w:r>
    </w:p>
    <w:p w14:paraId="5D009554">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乙方应对对危险作业实行审批管理，如动火、受限空间、高处、吊装等风险较大的危险作业，执行审批制度，安排专人现场监护，落实安全措施，配备应急救援器材，确保作业安全。</w:t>
      </w:r>
    </w:p>
    <w:p w14:paraId="7A6D97DF">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（六）安全技术交底</w:t>
      </w:r>
    </w:p>
    <w:p w14:paraId="5968367A">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乙方应每天在作业前，由技术人员向作业人员交底安全技术要求。</w:t>
      </w:r>
    </w:p>
    <w:p w14:paraId="0DFED8E4">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（七）安全检查与隐患排查</w:t>
      </w:r>
    </w:p>
    <w:p w14:paraId="04D34BE5">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定期组织开展安全检查、专职人员日常巡查检查相结合，对检查发现的隐患，下达整改通知，跟踪整改情况，形成闭环管理，重大隐患挂牌督办，确保整改到位。同时，乙方应积极配合甲方或上级主管部门组织的安全监督检查，对隐患问题应立即落实整改，并按照要求将整改情况及时回复，不得推委扯皮，敷衍整改或不落实整改。</w:t>
      </w:r>
    </w:p>
    <w:p w14:paraId="391331FC">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（八）安全事故报告与处理制度</w:t>
      </w:r>
    </w:p>
    <w:p w14:paraId="30716751">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发生生产安全事故，应立即启动事故应急预案，组织抢救伤员、保护事故现场，按规定向有关部门报告，配合事故调查，落实防范措施，承担相应责任，做好善后处理。</w:t>
      </w:r>
    </w:p>
    <w:p w14:paraId="09954EF1">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五、事故应急救援与报告</w:t>
      </w:r>
    </w:p>
    <w:p w14:paraId="40023616">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（一）应急预案制定与演练</w:t>
      </w:r>
    </w:p>
    <w:p w14:paraId="2FE1CF39">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制定项目综合应急预案和各专项应急预案，如安全生产事故综合应急预案、三防应急预案、火灾事故应急预案等，并明确应急救援组织、职责、程序、资源保障等；定期组织应急演练，检验预案有效性和应急响应能力，演练后评估总结，修订完善预案。</w:t>
      </w:r>
    </w:p>
    <w:p w14:paraId="04D78066">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（二）应急救援物资与装备</w:t>
      </w:r>
    </w:p>
    <w:p w14:paraId="5A656F7E">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乙方应结合项目潜在风险特点，统筹配备应急救援物资和装备，建立管理档案，定期维护保养，确保完好可用。</w:t>
      </w:r>
    </w:p>
    <w:p w14:paraId="00731596">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（三）事故报告程序</w:t>
      </w:r>
    </w:p>
    <w:p w14:paraId="5A0FC2AE">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发生生产安全事故，现场人员立即向乙方负责人报告，负责人接到报告后，在规定时间内向甲方和有关部门报告，报告内容包括事故发生时间、地点、简要经过、伤亡人数、初步原因、已采取措施等。</w:t>
      </w:r>
    </w:p>
    <w:p w14:paraId="29AC66FA">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（四）事故调查与处理</w:t>
      </w:r>
    </w:p>
    <w:p w14:paraId="55F75AFD">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乙方应积极配合政府有关部门开展事故调查，按照事故调查报告和处理意见，对责任单位和人员进行处理，落实防范措施，防止事故再次发生。</w:t>
      </w:r>
    </w:p>
    <w:p w14:paraId="0D6A7168">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六、职业健康管理</w:t>
      </w:r>
    </w:p>
    <w:p w14:paraId="478D5FEC">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（一）职业病危害告知</w:t>
      </w:r>
    </w:p>
    <w:p w14:paraId="15A5C2F8">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乙方在施工现场设置职业病危害告知牌，向员工告知职业病危害因素、防护措施、健康检查结果等。</w:t>
      </w:r>
    </w:p>
    <w:p w14:paraId="13355C98">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（二）职业健康检查</w:t>
      </w:r>
    </w:p>
    <w:p w14:paraId="012DE50D">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乙方应组织员工进行上岗前、在岗期间、离岗时的职业健康检查，建立职业健康监护档案，确保员工健康权益。</w:t>
      </w:r>
    </w:p>
    <w:p w14:paraId="58B8CF2E">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（三）职业病防护设施与用品</w:t>
      </w:r>
    </w:p>
    <w:p w14:paraId="44F0FF0A">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乙方应配备符合国家标准的职业病防护设施和用品，定期维护保养，并监督从业人员正确佩戴和使用。</w:t>
      </w:r>
    </w:p>
    <w:p w14:paraId="6C74F414">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（四）职业健康培训</w:t>
      </w:r>
    </w:p>
    <w:p w14:paraId="5DC48E1D">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乙方应对员工进行职业健康培训，使其了解职业病危害知识、防护技能和应急措施，提高自我保护意识和能力。</w:t>
      </w:r>
    </w:p>
    <w:p w14:paraId="588CC946">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七、环境保护与文明施工</w:t>
      </w:r>
    </w:p>
    <w:p w14:paraId="2C125AFF">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（一）环境保护措施</w:t>
      </w:r>
    </w:p>
    <w:p w14:paraId="5739B6F0">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乙方应严格按照当地相关文件要求采取有效措施减少施工对环境的影响，如控制噪声、粉尘排放，妥善处理废水、废渣等，保护周边环境。</w:t>
      </w:r>
    </w:p>
    <w:p w14:paraId="5C2BE7E8">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（二）文明处置作业要求</w:t>
      </w:r>
    </w:p>
    <w:p w14:paraId="1B6C9D81">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乙方作业现场应做到整洁、有序，材料堆放整齐，设置必要围挡和警示标志，避免对周边居民生活和交通造成干扰。</w:t>
      </w:r>
    </w:p>
    <w:p w14:paraId="30E318C2">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（三）环境卫生管理</w:t>
      </w:r>
    </w:p>
    <w:p w14:paraId="13399B7A">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乙方负责处置作业现场及生活区的环境卫生管理，定期清理垃圾和废弃物，保持环境整洁卫生。</w:t>
      </w:r>
    </w:p>
    <w:p w14:paraId="240E585C">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（四）环保培训与宣传</w:t>
      </w:r>
    </w:p>
    <w:p w14:paraId="55608E5F">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乙方应对员工进行环保培训和宣传教育，提高员工环保意识，自觉遵守环保规定，共同维护环境。</w:t>
      </w:r>
    </w:p>
    <w:p w14:paraId="7442C141">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八、违约责任与处罚措施</w:t>
      </w:r>
    </w:p>
    <w:p w14:paraId="2DEC5C04">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1. </w:t>
      </w:r>
      <w:r>
        <w:rPr>
          <w:rFonts w:hint="eastAsia"/>
          <w:sz w:val="24"/>
          <w:szCs w:val="24"/>
          <w:highlight w:val="none"/>
        </w:rPr>
        <w:t>乙方未按规定配备安全生产管理人员，或安全生产管理人员未履行职责，导致安全生产管理失控，存在重大事故隐患，责令限期改正，并扣除</w:t>
      </w:r>
      <w:r>
        <w:rPr>
          <w:sz w:val="24"/>
          <w:szCs w:val="24"/>
          <w:highlight w:val="none"/>
        </w:rPr>
        <w:t>1000</w:t>
      </w:r>
      <w:r>
        <w:rPr>
          <w:rFonts w:hint="eastAsia"/>
          <w:sz w:val="24"/>
          <w:szCs w:val="24"/>
          <w:highlight w:val="none"/>
        </w:rPr>
        <w:t>至</w:t>
      </w:r>
      <w:r>
        <w:rPr>
          <w:sz w:val="24"/>
          <w:szCs w:val="24"/>
          <w:highlight w:val="none"/>
        </w:rPr>
        <w:t>2000</w:t>
      </w:r>
      <w:r>
        <w:rPr>
          <w:rFonts w:hint="eastAsia"/>
          <w:sz w:val="24"/>
          <w:szCs w:val="24"/>
          <w:highlight w:val="none"/>
        </w:rPr>
        <w:t>元违约金；逾期未改正，扣除更高额度违约金。</w:t>
      </w:r>
    </w:p>
    <w:p w14:paraId="5F92D76C">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2. </w:t>
      </w:r>
      <w:r>
        <w:rPr>
          <w:rFonts w:hint="eastAsia"/>
          <w:sz w:val="24"/>
          <w:szCs w:val="24"/>
          <w:highlight w:val="none"/>
        </w:rPr>
        <w:t>乙方未对从业人员进行安全生产教育和培训，或未如实记录安全教育培训，或特种作业人员未持证上岗，责令限期改正，逾期未改正，扣除</w:t>
      </w:r>
      <w:r>
        <w:rPr>
          <w:sz w:val="24"/>
          <w:szCs w:val="24"/>
          <w:highlight w:val="none"/>
        </w:rPr>
        <w:t>1000</w:t>
      </w:r>
      <w:r>
        <w:rPr>
          <w:rFonts w:hint="eastAsia"/>
          <w:sz w:val="24"/>
          <w:szCs w:val="24"/>
          <w:highlight w:val="none"/>
        </w:rPr>
        <w:t>至</w:t>
      </w:r>
      <w:r>
        <w:rPr>
          <w:sz w:val="24"/>
          <w:szCs w:val="24"/>
          <w:highlight w:val="none"/>
        </w:rPr>
        <w:t>2000</w:t>
      </w:r>
      <w:r>
        <w:rPr>
          <w:rFonts w:hint="eastAsia"/>
          <w:sz w:val="24"/>
          <w:szCs w:val="24"/>
          <w:highlight w:val="none"/>
        </w:rPr>
        <w:t>元违约金。</w:t>
      </w:r>
    </w:p>
    <w:p w14:paraId="1F5F3F80">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3. </w:t>
      </w:r>
      <w:r>
        <w:rPr>
          <w:rFonts w:hint="eastAsia"/>
          <w:sz w:val="24"/>
          <w:szCs w:val="24"/>
          <w:highlight w:val="none"/>
        </w:rPr>
        <w:t>乙方未在有较大危险因素的生产经营场所和有关设施、设备上设置明显的安全警示标志，或未定期维护保养，确保正常有效的，责令限期改正，逾期未改正，扣除</w:t>
      </w:r>
      <w:r>
        <w:rPr>
          <w:sz w:val="24"/>
          <w:szCs w:val="24"/>
          <w:highlight w:val="none"/>
        </w:rPr>
        <w:t>1000</w:t>
      </w:r>
      <w:r>
        <w:rPr>
          <w:rFonts w:hint="eastAsia"/>
          <w:sz w:val="24"/>
          <w:szCs w:val="24"/>
          <w:highlight w:val="none"/>
        </w:rPr>
        <w:t>至</w:t>
      </w:r>
      <w:r>
        <w:rPr>
          <w:sz w:val="24"/>
          <w:szCs w:val="24"/>
          <w:highlight w:val="none"/>
        </w:rPr>
        <w:t>2000</w:t>
      </w:r>
      <w:r>
        <w:rPr>
          <w:rFonts w:hint="eastAsia"/>
          <w:sz w:val="24"/>
          <w:szCs w:val="24"/>
          <w:highlight w:val="none"/>
        </w:rPr>
        <w:t>元违约金。</w:t>
      </w:r>
    </w:p>
    <w:p w14:paraId="2413CF3E">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4. </w:t>
      </w:r>
      <w:r>
        <w:rPr>
          <w:rFonts w:hint="eastAsia"/>
          <w:sz w:val="24"/>
          <w:szCs w:val="24"/>
          <w:highlight w:val="none"/>
        </w:rPr>
        <w:t>乙方未对安全设备进行经常性维护、保养和定期检测，或使用应当淘汰的危及生产安全的工艺、设备，责令限期改正，逾期未改正，扣除</w:t>
      </w:r>
      <w:r>
        <w:rPr>
          <w:sz w:val="24"/>
          <w:szCs w:val="24"/>
          <w:highlight w:val="none"/>
        </w:rPr>
        <w:t>1000</w:t>
      </w:r>
      <w:r>
        <w:rPr>
          <w:rFonts w:hint="eastAsia"/>
          <w:sz w:val="24"/>
          <w:szCs w:val="24"/>
          <w:highlight w:val="none"/>
        </w:rPr>
        <w:t>至</w:t>
      </w:r>
      <w:r>
        <w:rPr>
          <w:sz w:val="24"/>
          <w:szCs w:val="24"/>
          <w:highlight w:val="none"/>
        </w:rPr>
        <w:t>2000</w:t>
      </w:r>
      <w:r>
        <w:rPr>
          <w:rFonts w:hint="eastAsia"/>
          <w:sz w:val="24"/>
          <w:szCs w:val="24"/>
          <w:highlight w:val="none"/>
        </w:rPr>
        <w:t>元违约金。</w:t>
      </w:r>
    </w:p>
    <w:p w14:paraId="27024AC7">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5. </w:t>
      </w:r>
      <w:r>
        <w:rPr>
          <w:rFonts w:hint="eastAsia"/>
          <w:sz w:val="24"/>
          <w:szCs w:val="24"/>
          <w:highlight w:val="none"/>
        </w:rPr>
        <w:t>乙方未为从业人员提供符合国家标准或行业标准的劳动防护用品，或使用不符合国家标准或行业标准的安全设备、器材，或现场检查从业人员未正确佩戴劳动防护用品、未采取与作业内容相适应的安全防护措施，责令限期改正，逾期未改正，扣除</w:t>
      </w:r>
      <w:r>
        <w:rPr>
          <w:sz w:val="24"/>
          <w:szCs w:val="24"/>
          <w:highlight w:val="none"/>
        </w:rPr>
        <w:t>500</w:t>
      </w:r>
      <w:r>
        <w:rPr>
          <w:rFonts w:hint="eastAsia"/>
          <w:sz w:val="24"/>
          <w:szCs w:val="24"/>
          <w:highlight w:val="none"/>
        </w:rPr>
        <w:t>至</w:t>
      </w:r>
      <w:r>
        <w:rPr>
          <w:sz w:val="24"/>
          <w:szCs w:val="24"/>
          <w:highlight w:val="none"/>
        </w:rPr>
        <w:t>2000</w:t>
      </w:r>
      <w:r>
        <w:rPr>
          <w:rFonts w:hint="eastAsia"/>
          <w:sz w:val="24"/>
          <w:szCs w:val="24"/>
          <w:highlight w:val="none"/>
        </w:rPr>
        <w:t>元违约金。重复出现类似问题的，扣除更高额度违约金。</w:t>
      </w:r>
    </w:p>
    <w:p w14:paraId="1DFB7230">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6. </w:t>
      </w:r>
      <w:r>
        <w:rPr>
          <w:rFonts w:hint="eastAsia"/>
          <w:sz w:val="24"/>
          <w:szCs w:val="24"/>
          <w:highlight w:val="none"/>
        </w:rPr>
        <w:t>乙方未按规定制定生产安全事故应急救援预案，或未定期组织演练，责令限期改正，逾期未改正，扣除处</w:t>
      </w:r>
      <w:r>
        <w:rPr>
          <w:sz w:val="24"/>
          <w:szCs w:val="24"/>
          <w:highlight w:val="none"/>
        </w:rPr>
        <w:t>1000</w:t>
      </w:r>
      <w:r>
        <w:rPr>
          <w:rFonts w:hint="eastAsia"/>
          <w:sz w:val="24"/>
          <w:szCs w:val="24"/>
          <w:highlight w:val="none"/>
        </w:rPr>
        <w:t>至</w:t>
      </w:r>
      <w:r>
        <w:rPr>
          <w:sz w:val="24"/>
          <w:szCs w:val="24"/>
          <w:highlight w:val="none"/>
        </w:rPr>
        <w:t>2000</w:t>
      </w:r>
      <w:r>
        <w:rPr>
          <w:rFonts w:hint="eastAsia"/>
          <w:sz w:val="24"/>
          <w:szCs w:val="24"/>
          <w:highlight w:val="none"/>
        </w:rPr>
        <w:t>元违约金。</w:t>
      </w:r>
    </w:p>
    <w:p w14:paraId="52585043">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7. </w:t>
      </w:r>
      <w:r>
        <w:rPr>
          <w:rFonts w:hint="eastAsia"/>
          <w:sz w:val="24"/>
          <w:szCs w:val="24"/>
          <w:highlight w:val="none"/>
        </w:rPr>
        <w:t>乙方发生生产安全事故，造成人员伤亡或重大社会不良影响的，扣除</w:t>
      </w:r>
      <w:r>
        <w:rPr>
          <w:sz w:val="24"/>
          <w:szCs w:val="24"/>
          <w:highlight w:val="none"/>
        </w:rPr>
        <w:t>20000</w:t>
      </w:r>
      <w:r>
        <w:rPr>
          <w:rFonts w:hint="eastAsia"/>
          <w:sz w:val="24"/>
          <w:szCs w:val="24"/>
          <w:highlight w:val="none"/>
        </w:rPr>
        <w:t>至</w:t>
      </w:r>
      <w:r>
        <w:rPr>
          <w:sz w:val="24"/>
          <w:szCs w:val="24"/>
          <w:highlight w:val="none"/>
        </w:rPr>
        <w:t>100000</w:t>
      </w:r>
      <w:r>
        <w:rPr>
          <w:rFonts w:hint="eastAsia"/>
          <w:sz w:val="24"/>
          <w:szCs w:val="24"/>
          <w:highlight w:val="none"/>
        </w:rPr>
        <w:t>元违约金；未按规定报告或采取措施组织抢救，隐瞒不报弄虚作假或主要负责人在事故调查处理期间擅离职守，扣除</w:t>
      </w:r>
      <w:r>
        <w:rPr>
          <w:sz w:val="24"/>
          <w:szCs w:val="24"/>
          <w:highlight w:val="none"/>
        </w:rPr>
        <w:t>2000</w:t>
      </w:r>
      <w:r>
        <w:rPr>
          <w:rFonts w:hint="eastAsia"/>
          <w:sz w:val="24"/>
          <w:szCs w:val="24"/>
          <w:highlight w:val="none"/>
        </w:rPr>
        <w:t>至</w:t>
      </w:r>
      <w:r>
        <w:rPr>
          <w:sz w:val="24"/>
          <w:szCs w:val="24"/>
          <w:highlight w:val="none"/>
        </w:rPr>
        <w:t>5000</w:t>
      </w:r>
      <w:r>
        <w:rPr>
          <w:rFonts w:hint="eastAsia"/>
          <w:sz w:val="24"/>
          <w:szCs w:val="24"/>
          <w:highlight w:val="none"/>
        </w:rPr>
        <w:t>元违约金。</w:t>
      </w:r>
    </w:p>
    <w:p w14:paraId="210BF65B">
      <w:pPr>
        <w:pStyle w:val="8"/>
        <w:tabs>
          <w:tab w:val="left" w:pos="2191"/>
        </w:tabs>
        <w:autoSpaceDE/>
        <w:autoSpaceDN/>
        <w:spacing w:line="460" w:lineRule="atLeast"/>
        <w:ind w:firstLine="480" w:firstLineChars="200"/>
        <w:rPr>
          <w:rFonts w:hint="eastAsia"/>
          <w:sz w:val="24"/>
          <w:szCs w:val="24"/>
          <w:highlight w:val="none"/>
        </w:rPr>
      </w:pPr>
      <w:r>
        <w:rPr>
          <w:sz w:val="24"/>
          <w:szCs w:val="24"/>
          <w:highlight w:val="none"/>
        </w:rPr>
        <w:t>8</w:t>
      </w:r>
      <w:r>
        <w:rPr>
          <w:rFonts w:hint="eastAsia"/>
          <w:sz w:val="24"/>
          <w:szCs w:val="24"/>
          <w:highlight w:val="none"/>
        </w:rPr>
        <w:t>、乙方因未严格落实当地政府相关文件要求，被政府或上级主管单位处罚或通报给加甲方造成影响的，扣除</w:t>
      </w:r>
      <w:r>
        <w:rPr>
          <w:sz w:val="24"/>
          <w:szCs w:val="24"/>
          <w:highlight w:val="none"/>
        </w:rPr>
        <w:t>2000</w:t>
      </w:r>
      <w:r>
        <w:rPr>
          <w:rFonts w:hint="eastAsia"/>
          <w:sz w:val="24"/>
          <w:szCs w:val="24"/>
          <w:highlight w:val="none"/>
        </w:rPr>
        <w:t>至</w:t>
      </w:r>
      <w:r>
        <w:rPr>
          <w:sz w:val="24"/>
          <w:szCs w:val="24"/>
          <w:highlight w:val="none"/>
        </w:rPr>
        <w:t>5000</w:t>
      </w:r>
      <w:r>
        <w:rPr>
          <w:rFonts w:hint="eastAsia"/>
          <w:sz w:val="24"/>
          <w:szCs w:val="24"/>
          <w:highlight w:val="none"/>
        </w:rPr>
        <w:t>元违约金。</w:t>
      </w:r>
    </w:p>
    <w:p w14:paraId="11B1539D">
      <w:pPr>
        <w:spacing w:line="360" w:lineRule="auto"/>
        <w:ind w:left="239" w:leftChars="114" w:firstLine="261" w:firstLineChars="109"/>
        <w:rPr>
          <w:rFonts w:hint="eastAsia"/>
          <w:sz w:val="24"/>
          <w:szCs w:val="24"/>
          <w:highlight w:val="none"/>
        </w:rPr>
      </w:pPr>
      <w:r>
        <w:rPr>
          <w:rFonts w:hint="eastAsia"/>
          <w:sz w:val="24"/>
          <w:szCs w:val="24"/>
          <w:highlight w:val="none"/>
        </w:rPr>
        <w:t>以上违约金</w:t>
      </w:r>
      <w:r>
        <w:rPr>
          <w:rFonts w:hint="eastAsia"/>
          <w:sz w:val="24"/>
          <w:szCs w:val="24"/>
          <w:highlight w:val="none"/>
          <w:lang w:eastAsia="zh-CN"/>
        </w:rPr>
        <w:t>，</w:t>
      </w:r>
      <w:r>
        <w:rPr>
          <w:rFonts w:hint="eastAsia"/>
          <w:sz w:val="24"/>
          <w:szCs w:val="24"/>
          <w:highlight w:val="none"/>
          <w:lang w:val="en-US" w:eastAsia="zh-CN"/>
        </w:rPr>
        <w:t>乙方应</w:t>
      </w:r>
      <w:r>
        <w:rPr>
          <w:rFonts w:hint="eastAsia"/>
          <w:sz w:val="24"/>
          <w:szCs w:val="24"/>
          <w:highlight w:val="none"/>
        </w:rPr>
        <w:t>在</w:t>
      </w:r>
      <w:r>
        <w:rPr>
          <w:rFonts w:hint="eastAsia"/>
          <w:sz w:val="24"/>
          <w:szCs w:val="24"/>
          <w:highlight w:val="none"/>
          <w:lang w:val="en-US" w:eastAsia="zh-CN"/>
        </w:rPr>
        <w:t>每月</w:t>
      </w:r>
      <w:r>
        <w:rPr>
          <w:rFonts w:hint="eastAsia"/>
          <w:sz w:val="24"/>
          <w:szCs w:val="24"/>
          <w:highlight w:val="none"/>
        </w:rPr>
        <w:t>支付</w:t>
      </w:r>
      <w:r>
        <w:rPr>
          <w:rFonts w:hint="eastAsia"/>
          <w:sz w:val="24"/>
          <w:szCs w:val="24"/>
          <w:highlight w:val="none"/>
          <w:lang w:val="en-US" w:eastAsia="zh-CN"/>
        </w:rPr>
        <w:t>处置</w:t>
      </w:r>
      <w:r>
        <w:rPr>
          <w:rFonts w:hint="eastAsia"/>
          <w:sz w:val="24"/>
          <w:szCs w:val="24"/>
          <w:highlight w:val="none"/>
        </w:rPr>
        <w:t>款</w:t>
      </w:r>
      <w:r>
        <w:rPr>
          <w:rFonts w:hint="eastAsia"/>
          <w:sz w:val="24"/>
          <w:szCs w:val="24"/>
          <w:highlight w:val="none"/>
          <w:lang w:val="en-US" w:eastAsia="zh-CN"/>
        </w:rPr>
        <w:t>或调价款时一并支付</w:t>
      </w:r>
      <w:r>
        <w:rPr>
          <w:rFonts w:hint="eastAsia"/>
          <w:sz w:val="24"/>
          <w:szCs w:val="24"/>
          <w:highlight w:val="none"/>
        </w:rPr>
        <w:t>，</w:t>
      </w:r>
      <w:r>
        <w:rPr>
          <w:rFonts w:hint="eastAsia"/>
          <w:sz w:val="24"/>
          <w:szCs w:val="24"/>
          <w:highlight w:val="none"/>
          <w:lang w:val="en-US" w:eastAsia="zh-CN"/>
        </w:rPr>
        <w:t>如乙方未按要求支付的，甲方还有权选择在定金或者履约保证金中直接</w:t>
      </w:r>
      <w:r>
        <w:rPr>
          <w:rFonts w:hint="eastAsia"/>
          <w:sz w:val="24"/>
          <w:szCs w:val="24"/>
          <w:highlight w:val="none"/>
        </w:rPr>
        <w:t>扣除</w:t>
      </w:r>
      <w:r>
        <w:rPr>
          <w:rFonts w:hint="eastAsia" w:eastAsia="宋体"/>
          <w:sz w:val="24"/>
          <w:szCs w:val="24"/>
          <w:highlight w:val="none"/>
          <w:lang w:eastAsia="zh-CN"/>
        </w:rPr>
        <w:t>，</w:t>
      </w:r>
      <w:r>
        <w:rPr>
          <w:rFonts w:hint="eastAsia" w:eastAsia="宋体"/>
          <w:sz w:val="24"/>
          <w:szCs w:val="24"/>
          <w:highlight w:val="none"/>
          <w:lang w:val="en-US" w:eastAsia="zh-CN"/>
        </w:rPr>
        <w:t>乙方对此无异议</w:t>
      </w:r>
      <w:r>
        <w:rPr>
          <w:rFonts w:hint="eastAsia"/>
          <w:sz w:val="24"/>
          <w:szCs w:val="24"/>
          <w:highlight w:val="none"/>
        </w:rPr>
        <w:t>。</w:t>
      </w:r>
    </w:p>
    <w:p w14:paraId="2DC939D2">
      <w:pPr>
        <w:pStyle w:val="8"/>
        <w:tabs>
          <w:tab w:val="left" w:pos="2191"/>
        </w:tabs>
        <w:autoSpaceDE/>
        <w:autoSpaceDN/>
        <w:spacing w:line="460" w:lineRule="atLeast"/>
        <w:ind w:firstLine="480" w:firstLineChars="200"/>
        <w:rPr>
          <w:sz w:val="24"/>
          <w:szCs w:val="24"/>
          <w:highlight w:val="none"/>
        </w:rPr>
      </w:pPr>
      <w:r>
        <w:rPr>
          <w:sz w:val="24"/>
          <w:szCs w:val="24"/>
          <w:highlight w:val="none"/>
        </w:rPr>
        <w:t xml:space="preserve"> </w:t>
      </w:r>
      <w:r>
        <w:rPr>
          <w:rFonts w:hint="eastAsia"/>
          <w:sz w:val="24"/>
          <w:szCs w:val="24"/>
          <w:highlight w:val="none"/>
        </w:rPr>
        <w:t>九、其他条款</w:t>
      </w:r>
    </w:p>
    <w:p w14:paraId="1BBC0662">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（一）协议期限</w:t>
      </w:r>
    </w:p>
    <w:p w14:paraId="174D8FF5">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本协议自双方签字盖章之日起生效，至项目主合同履行完后终止。但本协议约定的双方保密义务，等在协议终止后仍然有效。</w:t>
      </w:r>
    </w:p>
    <w:p w14:paraId="15985FE1">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（二）争议解决</w:t>
      </w:r>
    </w:p>
    <w:p w14:paraId="11A30538">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本协议履行过程中如发生争议，双方应友好协商解决；协商不成的，可向</w:t>
      </w:r>
      <w:r>
        <w:rPr>
          <w:rFonts w:hint="eastAsia"/>
          <w:sz w:val="24"/>
          <w:szCs w:val="24"/>
          <w:highlight w:val="none"/>
          <w:lang w:val="en-US" w:eastAsia="zh-CN"/>
        </w:rPr>
        <w:t>甲方所在地</w:t>
      </w:r>
      <w:r>
        <w:rPr>
          <w:rFonts w:hint="eastAsia"/>
          <w:sz w:val="24"/>
          <w:szCs w:val="24"/>
          <w:highlight w:val="none"/>
        </w:rPr>
        <w:t>人民法院提起诉讼。</w:t>
      </w:r>
    </w:p>
    <w:p w14:paraId="360BFDF3">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（三）协议份数</w:t>
      </w:r>
    </w:p>
    <w:p w14:paraId="051A2D7F">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本协议份数与主合同份数一致，附在每份主合同后，具有同等法律效力。</w:t>
      </w:r>
    </w:p>
    <w:p w14:paraId="585008EC">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（四）补充条款</w:t>
      </w:r>
    </w:p>
    <w:p w14:paraId="117330E3">
      <w:pPr>
        <w:pStyle w:val="8"/>
        <w:tabs>
          <w:tab w:val="left" w:pos="2191"/>
        </w:tabs>
        <w:autoSpaceDE/>
        <w:autoSpaceDN/>
        <w:spacing w:line="460" w:lineRule="atLeast"/>
        <w:ind w:firstLine="480" w:firstLineChars="200"/>
        <w:rPr>
          <w:sz w:val="24"/>
          <w:szCs w:val="24"/>
          <w:highlight w:val="none"/>
        </w:rPr>
      </w:pPr>
      <w:r>
        <w:rPr>
          <w:rFonts w:hint="eastAsia"/>
          <w:sz w:val="24"/>
          <w:szCs w:val="24"/>
          <w:highlight w:val="none"/>
        </w:rPr>
        <w:t>经双方协商一致，可对本协议进行补充或修改，补充协议与本协议具有同等法律效力。</w:t>
      </w:r>
    </w:p>
    <w:p w14:paraId="0B271E34">
      <w:pPr>
        <w:pStyle w:val="8"/>
        <w:tabs>
          <w:tab w:val="left" w:pos="2191"/>
        </w:tabs>
        <w:spacing w:line="360" w:lineRule="auto"/>
        <w:ind w:firstLine="480" w:firstLineChars="200"/>
        <w:rPr>
          <w:sz w:val="24"/>
          <w:szCs w:val="24"/>
          <w:highlight w:val="none"/>
        </w:rPr>
      </w:pPr>
    </w:p>
    <w:p w14:paraId="76BE6B08">
      <w:pPr>
        <w:pStyle w:val="8"/>
        <w:tabs>
          <w:tab w:val="left" w:pos="2191"/>
        </w:tabs>
        <w:spacing w:line="360" w:lineRule="auto"/>
        <w:ind w:firstLine="480" w:firstLineChars="200"/>
        <w:rPr>
          <w:sz w:val="24"/>
          <w:szCs w:val="24"/>
          <w:highlight w:val="none"/>
        </w:rPr>
      </w:pPr>
      <w:r>
        <w:rPr>
          <w:rFonts w:hint="eastAsia"/>
          <w:sz w:val="24"/>
          <w:szCs w:val="24"/>
          <w:highlight w:val="none"/>
        </w:rPr>
        <w:t>甲方（盖章）：</w:t>
      </w:r>
      <w:r>
        <w:rPr>
          <w:sz w:val="24"/>
          <w:szCs w:val="24"/>
          <w:highlight w:val="none"/>
        </w:rPr>
        <w:t>__________________</w:t>
      </w:r>
    </w:p>
    <w:p w14:paraId="021D1050">
      <w:pPr>
        <w:pStyle w:val="8"/>
        <w:tabs>
          <w:tab w:val="left" w:pos="2191"/>
        </w:tabs>
        <w:spacing w:line="360" w:lineRule="auto"/>
        <w:ind w:firstLine="480" w:firstLineChars="200"/>
        <w:rPr>
          <w:sz w:val="24"/>
          <w:szCs w:val="24"/>
          <w:highlight w:val="none"/>
        </w:rPr>
      </w:pPr>
      <w:r>
        <w:rPr>
          <w:rFonts w:hint="eastAsia"/>
          <w:sz w:val="24"/>
          <w:szCs w:val="24"/>
          <w:highlight w:val="none"/>
        </w:rPr>
        <w:t>甲方代表（签字）：</w:t>
      </w:r>
      <w:r>
        <w:rPr>
          <w:sz w:val="24"/>
          <w:szCs w:val="24"/>
          <w:highlight w:val="none"/>
        </w:rPr>
        <w:t>______</w:t>
      </w:r>
    </w:p>
    <w:p w14:paraId="30079106">
      <w:pPr>
        <w:pStyle w:val="8"/>
        <w:tabs>
          <w:tab w:val="left" w:pos="2191"/>
        </w:tabs>
        <w:spacing w:line="360" w:lineRule="auto"/>
        <w:ind w:firstLine="480" w:firstLineChars="200"/>
        <w:rPr>
          <w:sz w:val="24"/>
          <w:szCs w:val="24"/>
          <w:highlight w:val="none"/>
        </w:rPr>
      </w:pPr>
      <w:r>
        <w:rPr>
          <w:rFonts w:hint="eastAsia"/>
          <w:sz w:val="24"/>
          <w:szCs w:val="24"/>
          <w:highlight w:val="none"/>
        </w:rPr>
        <w:t>签订日期：</w:t>
      </w:r>
      <w:r>
        <w:rPr>
          <w:sz w:val="24"/>
          <w:szCs w:val="24"/>
          <w:highlight w:val="none"/>
        </w:rPr>
        <w:t>______</w:t>
      </w:r>
      <w:r>
        <w:rPr>
          <w:rFonts w:hint="eastAsia"/>
          <w:sz w:val="24"/>
          <w:szCs w:val="24"/>
          <w:highlight w:val="none"/>
        </w:rPr>
        <w:t>年</w:t>
      </w:r>
      <w:r>
        <w:rPr>
          <w:sz w:val="24"/>
          <w:szCs w:val="24"/>
          <w:highlight w:val="none"/>
        </w:rPr>
        <w:t>____</w:t>
      </w:r>
      <w:r>
        <w:rPr>
          <w:rFonts w:hint="eastAsia"/>
          <w:sz w:val="24"/>
          <w:szCs w:val="24"/>
          <w:highlight w:val="none"/>
        </w:rPr>
        <w:t>月</w:t>
      </w:r>
      <w:r>
        <w:rPr>
          <w:sz w:val="24"/>
          <w:szCs w:val="24"/>
          <w:highlight w:val="none"/>
        </w:rPr>
        <w:t>____</w:t>
      </w:r>
      <w:r>
        <w:rPr>
          <w:rFonts w:hint="eastAsia"/>
          <w:sz w:val="24"/>
          <w:szCs w:val="24"/>
          <w:highlight w:val="none"/>
        </w:rPr>
        <w:t>日</w:t>
      </w:r>
    </w:p>
    <w:p w14:paraId="2D53635B">
      <w:pPr>
        <w:pStyle w:val="8"/>
        <w:tabs>
          <w:tab w:val="left" w:pos="2191"/>
        </w:tabs>
        <w:spacing w:line="360" w:lineRule="auto"/>
        <w:ind w:firstLine="480" w:firstLineChars="200"/>
        <w:rPr>
          <w:sz w:val="24"/>
          <w:szCs w:val="24"/>
          <w:highlight w:val="none"/>
        </w:rPr>
      </w:pPr>
    </w:p>
    <w:p w14:paraId="7317722C">
      <w:pPr>
        <w:pStyle w:val="8"/>
        <w:tabs>
          <w:tab w:val="left" w:pos="2191"/>
        </w:tabs>
        <w:spacing w:line="360" w:lineRule="auto"/>
        <w:ind w:firstLine="480" w:firstLineChars="200"/>
        <w:rPr>
          <w:sz w:val="24"/>
          <w:szCs w:val="24"/>
          <w:highlight w:val="none"/>
        </w:rPr>
      </w:pPr>
      <w:r>
        <w:rPr>
          <w:rFonts w:hint="eastAsia"/>
          <w:sz w:val="24"/>
          <w:szCs w:val="24"/>
          <w:highlight w:val="none"/>
        </w:rPr>
        <w:t>乙方（盖章）：</w:t>
      </w:r>
      <w:r>
        <w:rPr>
          <w:sz w:val="24"/>
          <w:szCs w:val="24"/>
          <w:highlight w:val="none"/>
        </w:rPr>
        <w:t>__________________</w:t>
      </w:r>
    </w:p>
    <w:p w14:paraId="6583F333">
      <w:pPr>
        <w:pStyle w:val="8"/>
        <w:tabs>
          <w:tab w:val="left" w:pos="2191"/>
        </w:tabs>
        <w:spacing w:line="360" w:lineRule="auto"/>
        <w:ind w:firstLine="480" w:firstLineChars="200"/>
        <w:rPr>
          <w:sz w:val="24"/>
          <w:szCs w:val="24"/>
          <w:highlight w:val="none"/>
        </w:rPr>
      </w:pPr>
      <w:r>
        <w:rPr>
          <w:rFonts w:hint="eastAsia"/>
          <w:sz w:val="24"/>
          <w:szCs w:val="24"/>
          <w:highlight w:val="none"/>
        </w:rPr>
        <w:t>乙方代表（签字）：</w:t>
      </w:r>
      <w:r>
        <w:rPr>
          <w:sz w:val="24"/>
          <w:szCs w:val="24"/>
          <w:highlight w:val="none"/>
        </w:rPr>
        <w:t>______</w:t>
      </w:r>
    </w:p>
    <w:p w14:paraId="1215D70D">
      <w:pPr>
        <w:pStyle w:val="8"/>
        <w:tabs>
          <w:tab w:val="left" w:pos="2191"/>
        </w:tabs>
        <w:spacing w:line="360" w:lineRule="auto"/>
        <w:ind w:firstLine="480" w:firstLineChars="200"/>
        <w:rPr>
          <w:sz w:val="24"/>
          <w:szCs w:val="24"/>
          <w:highlight w:val="none"/>
        </w:rPr>
      </w:pPr>
      <w:r>
        <w:rPr>
          <w:rFonts w:hint="eastAsia"/>
          <w:sz w:val="24"/>
          <w:szCs w:val="24"/>
          <w:highlight w:val="none"/>
        </w:rPr>
        <w:t>签订日期：</w:t>
      </w:r>
      <w:r>
        <w:rPr>
          <w:sz w:val="24"/>
          <w:szCs w:val="24"/>
          <w:highlight w:val="none"/>
        </w:rPr>
        <w:t>______</w:t>
      </w:r>
      <w:r>
        <w:rPr>
          <w:rFonts w:hint="eastAsia"/>
          <w:sz w:val="24"/>
          <w:szCs w:val="24"/>
          <w:highlight w:val="none"/>
        </w:rPr>
        <w:t>年</w:t>
      </w:r>
      <w:r>
        <w:rPr>
          <w:sz w:val="24"/>
          <w:szCs w:val="24"/>
          <w:highlight w:val="none"/>
        </w:rPr>
        <w:t>____</w:t>
      </w:r>
      <w:r>
        <w:rPr>
          <w:rFonts w:hint="eastAsia"/>
          <w:sz w:val="24"/>
          <w:szCs w:val="24"/>
          <w:highlight w:val="none"/>
        </w:rPr>
        <w:t>月</w:t>
      </w:r>
      <w:r>
        <w:rPr>
          <w:sz w:val="24"/>
          <w:szCs w:val="24"/>
          <w:highlight w:val="none"/>
        </w:rPr>
        <w:t>____</w:t>
      </w:r>
      <w:r>
        <w:rPr>
          <w:rFonts w:hint="eastAsia"/>
          <w:sz w:val="24"/>
          <w:szCs w:val="24"/>
          <w:highlight w:val="none"/>
        </w:rPr>
        <w:t>日</w:t>
      </w:r>
    </w:p>
    <w:p w14:paraId="6AE7DA4C">
      <w:pPr>
        <w:pStyle w:val="8"/>
        <w:tabs>
          <w:tab w:val="left" w:pos="2191"/>
        </w:tabs>
        <w:spacing w:line="360" w:lineRule="auto"/>
        <w:ind w:firstLine="480" w:firstLineChars="200"/>
        <w:rPr>
          <w:rFonts w:ascii="宋体" w:hAnsi="宋体" w:cs="宋体"/>
          <w:sz w:val="24"/>
          <w:szCs w:val="24"/>
          <w:highlight w:val="none"/>
        </w:rPr>
      </w:pPr>
    </w:p>
    <w:p w14:paraId="7CE86D85">
      <w:pPr>
        <w:pStyle w:val="38"/>
        <w:spacing w:beforeLines="0" w:afterLines="0" w:line="500" w:lineRule="exact"/>
        <w:ind w:firstLine="480" w:firstLineChars="200"/>
        <w:jc w:val="both"/>
        <w:rPr>
          <w:rFonts w:hint="eastAsia"/>
          <w:sz w:val="24"/>
          <w:highlight w:val="none"/>
        </w:rPr>
      </w:pPr>
      <w:r>
        <w:rPr>
          <w:sz w:val="24"/>
          <w:szCs w:val="24"/>
          <w:highlight w:val="none"/>
        </w:rPr>
        <w:br w:type="page"/>
      </w:r>
      <w:r>
        <w:rPr>
          <w:rFonts w:hint="eastAsia"/>
          <w:sz w:val="24"/>
          <w:highlight w:val="none"/>
        </w:rPr>
        <w:t>附件2：《廉洁协议》</w:t>
      </w:r>
      <w:bookmarkStart w:id="7" w:name="_Toc19154"/>
      <w:bookmarkStart w:id="8" w:name="_Toc13006"/>
      <w:bookmarkStart w:id="9" w:name="_Toc24660"/>
    </w:p>
    <w:p w14:paraId="657EAD30">
      <w:pPr>
        <w:pStyle w:val="38"/>
        <w:spacing w:beforeLines="0" w:afterLines="0" w:line="500" w:lineRule="exact"/>
        <w:ind w:firstLine="560" w:firstLineChars="200"/>
        <w:jc w:val="both"/>
        <w:rPr>
          <w:rStyle w:val="39"/>
          <w:rFonts w:hint="eastAsia" w:ascii="仿宋" w:hAnsi="仿宋" w:eastAsia="仿宋" w:cs="仿宋"/>
          <w:i w:val="0"/>
          <w:kern w:val="2"/>
          <w:sz w:val="28"/>
          <w:szCs w:val="28"/>
          <w:highlight w:val="none"/>
        </w:rPr>
      </w:pPr>
      <w:r>
        <w:rPr>
          <w:rStyle w:val="39"/>
          <w:rFonts w:hint="eastAsia" w:ascii="仿宋" w:hAnsi="仿宋" w:eastAsia="仿宋" w:cs="仿宋"/>
          <w:i w:val="0"/>
          <w:kern w:val="2"/>
          <w:sz w:val="28"/>
          <w:szCs w:val="28"/>
          <w:highlight w:val="none"/>
        </w:rPr>
        <w:t>为加强</w:t>
      </w:r>
      <w:r>
        <w:rPr>
          <w:rStyle w:val="39"/>
          <w:rFonts w:hint="eastAsia" w:ascii="仿宋" w:hAnsi="仿宋" w:eastAsia="仿宋" w:cs="仿宋"/>
          <w:i w:val="0"/>
          <w:kern w:val="2"/>
          <w:sz w:val="28"/>
          <w:szCs w:val="28"/>
          <w:highlight w:val="none"/>
          <w:u w:val="none"/>
          <w:lang w:eastAsia="zh-CN"/>
        </w:rPr>
        <w:t>【</w:t>
      </w:r>
      <w:r>
        <w:rPr>
          <w:rStyle w:val="39"/>
          <w:rFonts w:hint="eastAsia" w:ascii="仿宋" w:hAnsi="仿宋" w:eastAsia="仿宋" w:cs="仿宋"/>
          <w:i w:val="0"/>
          <w:kern w:val="2"/>
          <w:sz w:val="28"/>
          <w:szCs w:val="28"/>
          <w:highlight w:val="none"/>
          <w:u w:val="single"/>
          <w:lang w:val="en-US" w:eastAsia="zh-CN"/>
        </w:rPr>
        <w:t xml:space="preserve">           </w:t>
      </w:r>
      <w:r>
        <w:rPr>
          <w:rStyle w:val="39"/>
          <w:rFonts w:hint="eastAsia" w:ascii="仿宋" w:hAnsi="仿宋" w:eastAsia="仿宋" w:cs="仿宋"/>
          <w:i w:val="0"/>
          <w:kern w:val="2"/>
          <w:sz w:val="28"/>
          <w:szCs w:val="28"/>
          <w:highlight w:val="none"/>
          <w:u w:val="none"/>
          <w:lang w:val="en-US" w:eastAsia="zh-CN"/>
        </w:rPr>
        <w:t xml:space="preserve"> </w:t>
      </w:r>
      <w:r>
        <w:rPr>
          <w:rStyle w:val="39"/>
          <w:rFonts w:hint="eastAsia" w:ascii="仿宋" w:hAnsi="仿宋" w:eastAsia="仿宋" w:cs="仿宋"/>
          <w:i w:val="0"/>
          <w:kern w:val="2"/>
          <w:sz w:val="28"/>
          <w:szCs w:val="28"/>
          <w:highlight w:val="none"/>
          <w:u w:val="none"/>
          <w:lang w:eastAsia="zh-CN"/>
        </w:rPr>
        <w:t>】</w:t>
      </w:r>
      <w:r>
        <w:rPr>
          <w:rStyle w:val="39"/>
          <w:rFonts w:hint="eastAsia" w:ascii="仿宋" w:hAnsi="仿宋" w:eastAsia="仿宋" w:cs="仿宋"/>
          <w:i w:val="0"/>
          <w:kern w:val="2"/>
          <w:sz w:val="28"/>
          <w:szCs w:val="28"/>
          <w:highlight w:val="none"/>
          <w:u w:val="none"/>
          <w:lang w:val="en-US" w:eastAsia="zh-CN"/>
        </w:rPr>
        <w:t>（下称“主合同”）履行</w:t>
      </w:r>
      <w:r>
        <w:rPr>
          <w:rStyle w:val="39"/>
          <w:rFonts w:hint="eastAsia" w:ascii="仿宋" w:hAnsi="仿宋" w:eastAsia="仿宋" w:cs="仿宋"/>
          <w:i w:val="0"/>
          <w:kern w:val="2"/>
          <w:sz w:val="28"/>
          <w:szCs w:val="28"/>
          <w:highlight w:val="none"/>
          <w:u w:val="none"/>
        </w:rPr>
        <w:t>过程</w:t>
      </w:r>
      <w:r>
        <w:rPr>
          <w:rStyle w:val="39"/>
          <w:rFonts w:hint="eastAsia" w:ascii="仿宋" w:hAnsi="仿宋" w:eastAsia="仿宋" w:cs="仿宋"/>
          <w:i w:val="0"/>
          <w:kern w:val="2"/>
          <w:sz w:val="28"/>
          <w:szCs w:val="28"/>
          <w:highlight w:val="none"/>
        </w:rPr>
        <w:t>中的</w:t>
      </w:r>
      <w:r>
        <w:rPr>
          <w:rStyle w:val="39"/>
          <w:rFonts w:hint="eastAsia" w:ascii="仿宋" w:hAnsi="仿宋" w:eastAsia="仿宋" w:cs="仿宋"/>
          <w:i w:val="0"/>
          <w:kern w:val="2"/>
          <w:sz w:val="28"/>
          <w:szCs w:val="28"/>
          <w:highlight w:val="none"/>
          <w:lang w:eastAsia="zh-CN"/>
        </w:rPr>
        <w:t>廉洁</w:t>
      </w:r>
      <w:r>
        <w:rPr>
          <w:rStyle w:val="39"/>
          <w:rFonts w:hint="eastAsia" w:ascii="仿宋" w:hAnsi="仿宋" w:eastAsia="仿宋" w:cs="仿宋"/>
          <w:i w:val="0"/>
          <w:kern w:val="2"/>
          <w:sz w:val="28"/>
          <w:szCs w:val="28"/>
          <w:highlight w:val="none"/>
        </w:rPr>
        <w:t>建设，根据《中华人民共和国监察法》《中华人民共和国反不正当竞争法》等法律法规，特订立本协议。</w:t>
      </w:r>
    </w:p>
    <w:p w14:paraId="5807E1BE">
      <w:pPr>
        <w:pStyle w:val="38"/>
        <w:spacing w:beforeLines="0" w:afterLines="0" w:line="500" w:lineRule="exact"/>
        <w:ind w:firstLine="562" w:firstLineChars="200"/>
        <w:jc w:val="both"/>
        <w:outlineLvl w:val="0"/>
        <w:rPr>
          <w:rStyle w:val="39"/>
          <w:rFonts w:hint="eastAsia" w:ascii="仿宋" w:hAnsi="仿宋" w:eastAsia="仿宋" w:cs="仿宋"/>
          <w:b/>
          <w:bCs/>
          <w:i w:val="0"/>
          <w:iCs w:val="0"/>
          <w:kern w:val="2"/>
          <w:sz w:val="28"/>
          <w:szCs w:val="28"/>
          <w:highlight w:val="none"/>
        </w:rPr>
      </w:pPr>
      <w:bookmarkStart w:id="10" w:name="_Toc2227"/>
      <w:bookmarkStart w:id="11" w:name="_Toc638"/>
      <w:bookmarkStart w:id="12" w:name="_Toc11041"/>
      <w:bookmarkStart w:id="13" w:name="_Toc20607"/>
      <w:bookmarkStart w:id="14" w:name="_Toc26641"/>
      <w:bookmarkStart w:id="15" w:name="_Toc2403"/>
      <w:bookmarkStart w:id="16" w:name="_Toc3649"/>
      <w:bookmarkStart w:id="17" w:name="_Toc17730_WPSOffice_Level1"/>
      <w:bookmarkStart w:id="18" w:name="_Toc5336_WPSOffice_Level1"/>
      <w:bookmarkStart w:id="19" w:name="_Toc3932"/>
      <w:bookmarkStart w:id="20" w:name="_Toc6741"/>
      <w:bookmarkStart w:id="21" w:name="_Toc29863"/>
      <w:bookmarkStart w:id="22" w:name="_Toc2344"/>
      <w:bookmarkStart w:id="23" w:name="_Toc11946_WPSOffice_Level1"/>
      <w:bookmarkStart w:id="24" w:name="_Toc10855_WPSOffice_Level1"/>
      <w:bookmarkStart w:id="25" w:name="_Toc7202"/>
      <w:r>
        <w:rPr>
          <w:rStyle w:val="39"/>
          <w:rFonts w:hint="eastAsia" w:ascii="仿宋" w:hAnsi="仿宋" w:eastAsia="仿宋" w:cs="仿宋"/>
          <w:b/>
          <w:bCs/>
          <w:i w:val="0"/>
          <w:iCs w:val="0"/>
          <w:kern w:val="2"/>
          <w:sz w:val="28"/>
          <w:szCs w:val="28"/>
          <w:highlight w:val="none"/>
        </w:rPr>
        <w:t>第一条 双方责任</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1768CBF">
      <w:pPr>
        <w:pStyle w:val="38"/>
        <w:spacing w:beforeLines="0" w:afterLines="0" w:line="500" w:lineRule="exact"/>
        <w:ind w:firstLine="560" w:firstLineChars="200"/>
        <w:jc w:val="both"/>
        <w:outlineLvl w:val="0"/>
        <w:rPr>
          <w:rStyle w:val="39"/>
          <w:rFonts w:hint="eastAsia" w:ascii="仿宋" w:hAnsi="仿宋" w:eastAsia="仿宋" w:cs="仿宋"/>
          <w:i w:val="0"/>
          <w:kern w:val="2"/>
          <w:sz w:val="28"/>
          <w:szCs w:val="28"/>
          <w:highlight w:val="none"/>
          <w:lang w:eastAsia="zh-CN"/>
        </w:rPr>
      </w:pPr>
      <w:r>
        <w:rPr>
          <w:rStyle w:val="39"/>
          <w:rFonts w:hint="eastAsia" w:ascii="仿宋" w:hAnsi="仿宋" w:eastAsia="仿宋" w:cs="仿宋"/>
          <w:i w:val="0"/>
          <w:kern w:val="2"/>
          <w:sz w:val="28"/>
          <w:szCs w:val="28"/>
          <w:highlight w:val="none"/>
        </w:rPr>
        <w:t>（一）</w:t>
      </w:r>
      <w:bookmarkStart w:id="26" w:name="_Toc29669"/>
      <w:bookmarkStart w:id="27" w:name="_Toc16444_WPSOffice_Level1"/>
      <w:bookmarkStart w:id="28" w:name="_Toc12624_WPSOffice_Level1"/>
      <w:bookmarkStart w:id="29" w:name="_Toc736"/>
      <w:bookmarkStart w:id="30" w:name="_Toc1192"/>
      <w:bookmarkStart w:id="31" w:name="_Toc10045"/>
      <w:bookmarkStart w:id="32" w:name="_Toc3507"/>
      <w:bookmarkStart w:id="33" w:name="_Toc3896_WPSOffice_Level1"/>
      <w:bookmarkStart w:id="34" w:name="_Toc29762"/>
      <w:bookmarkStart w:id="35" w:name="_Toc4299"/>
      <w:bookmarkStart w:id="36" w:name="_Toc28709"/>
      <w:bookmarkStart w:id="37" w:name="_Toc12936_WPSOffice_Level1"/>
      <w:bookmarkStart w:id="38" w:name="_Toc18251"/>
      <w:bookmarkStart w:id="39" w:name="_Toc7359"/>
      <w:bookmarkStart w:id="40" w:name="_Toc10126"/>
      <w:bookmarkStart w:id="41" w:name="_Toc12207"/>
      <w:r>
        <w:rPr>
          <w:rStyle w:val="39"/>
          <w:rFonts w:hint="eastAsia" w:ascii="仿宋" w:hAnsi="仿宋" w:eastAsia="仿宋" w:cs="仿宋"/>
          <w:i w:val="0"/>
          <w:kern w:val="2"/>
          <w:sz w:val="28"/>
          <w:szCs w:val="28"/>
          <w:highlight w:val="none"/>
        </w:rPr>
        <w:t>双方应遵守《中华人民共和国监察法》《反不正当竞争法》等法律法规</w:t>
      </w:r>
      <w:r>
        <w:rPr>
          <w:rStyle w:val="39"/>
          <w:rFonts w:hint="eastAsia" w:ascii="仿宋" w:hAnsi="仿宋" w:eastAsia="仿宋" w:cs="仿宋"/>
          <w:i w:val="0"/>
          <w:kern w:val="2"/>
          <w:sz w:val="28"/>
          <w:szCs w:val="28"/>
          <w:highlight w:val="none"/>
          <w:lang w:eastAsia="zh-CN"/>
        </w:rPr>
        <w:t>。</w:t>
      </w:r>
      <w:r>
        <w:rPr>
          <w:rStyle w:val="39"/>
          <w:rFonts w:hint="eastAsia" w:ascii="仿宋" w:hAnsi="仿宋" w:eastAsia="仿宋" w:cs="仿宋"/>
          <w:i w:val="0"/>
          <w:kern w:val="2"/>
          <w:sz w:val="28"/>
          <w:szCs w:val="28"/>
          <w:highlight w:val="none"/>
        </w:rPr>
        <w:br w:type="textWrapping"/>
      </w:r>
      <w:r>
        <w:rPr>
          <w:rStyle w:val="39"/>
          <w:rFonts w:hint="eastAsia" w:ascii="仿宋" w:hAnsi="仿宋" w:eastAsia="仿宋" w:cs="仿宋"/>
          <w:i w:val="0"/>
          <w:kern w:val="2"/>
          <w:sz w:val="28"/>
          <w:szCs w:val="28"/>
          <w:highlight w:val="none"/>
          <w:lang w:val="en-US" w:eastAsia="zh-CN"/>
        </w:rPr>
        <w:t xml:space="preserve">   </w:t>
      </w:r>
      <w:r>
        <w:rPr>
          <w:rStyle w:val="39"/>
          <w:rFonts w:hint="eastAsia" w:ascii="仿宋" w:hAnsi="仿宋" w:eastAsia="仿宋" w:cs="仿宋"/>
          <w:i w:val="0"/>
          <w:kern w:val="2"/>
          <w:sz w:val="28"/>
          <w:szCs w:val="28"/>
          <w:highlight w:val="none"/>
          <w:lang w:eastAsia="zh-CN"/>
        </w:rPr>
        <w:t>（</w:t>
      </w:r>
      <w:r>
        <w:rPr>
          <w:rStyle w:val="39"/>
          <w:rFonts w:hint="eastAsia" w:ascii="仿宋" w:hAnsi="仿宋" w:eastAsia="仿宋" w:cs="仿宋"/>
          <w:i w:val="0"/>
          <w:kern w:val="2"/>
          <w:sz w:val="28"/>
          <w:szCs w:val="28"/>
          <w:highlight w:val="none"/>
          <w:lang w:val="en-US" w:eastAsia="zh-CN"/>
        </w:rPr>
        <w:t>二</w:t>
      </w:r>
      <w:r>
        <w:rPr>
          <w:rStyle w:val="39"/>
          <w:rFonts w:hint="eastAsia" w:ascii="仿宋" w:hAnsi="仿宋" w:eastAsia="仿宋" w:cs="仿宋"/>
          <w:i w:val="0"/>
          <w:kern w:val="2"/>
          <w:sz w:val="28"/>
          <w:szCs w:val="28"/>
          <w:highlight w:val="none"/>
          <w:lang w:eastAsia="zh-CN"/>
        </w:rPr>
        <w:t>）</w:t>
      </w:r>
      <w:r>
        <w:rPr>
          <w:rStyle w:val="39"/>
          <w:rFonts w:hint="eastAsia" w:ascii="仿宋" w:hAnsi="仿宋" w:eastAsia="仿宋" w:cs="仿宋"/>
          <w:i w:val="0"/>
          <w:kern w:val="2"/>
          <w:sz w:val="28"/>
          <w:szCs w:val="28"/>
          <w:highlight w:val="none"/>
        </w:rPr>
        <w:t>乙方承诺其关联方及实际控制人同等受本协议约束</w:t>
      </w:r>
      <w:r>
        <w:rPr>
          <w:rStyle w:val="39"/>
          <w:rFonts w:hint="eastAsia" w:ascii="仿宋" w:hAnsi="仿宋" w:eastAsia="仿宋" w:cs="仿宋"/>
          <w:i w:val="0"/>
          <w:kern w:val="2"/>
          <w:sz w:val="28"/>
          <w:szCs w:val="28"/>
          <w:highlight w:val="none"/>
          <w:lang w:eastAsia="zh-CN"/>
        </w:rPr>
        <w:t>。</w:t>
      </w:r>
    </w:p>
    <w:p w14:paraId="10CE3B7A">
      <w:pPr>
        <w:pStyle w:val="38"/>
        <w:spacing w:beforeLines="0" w:afterLines="0" w:line="500" w:lineRule="exact"/>
        <w:ind w:firstLine="562" w:firstLineChars="200"/>
        <w:jc w:val="both"/>
        <w:outlineLvl w:val="0"/>
        <w:rPr>
          <w:rStyle w:val="39"/>
          <w:rFonts w:hint="eastAsia" w:ascii="仿宋" w:hAnsi="仿宋" w:eastAsia="仿宋" w:cs="仿宋"/>
          <w:b/>
          <w:bCs/>
          <w:i w:val="0"/>
          <w:iCs w:val="0"/>
          <w:kern w:val="2"/>
          <w:sz w:val="28"/>
          <w:szCs w:val="28"/>
          <w:highlight w:val="none"/>
        </w:rPr>
      </w:pPr>
      <w:r>
        <w:rPr>
          <w:rStyle w:val="39"/>
          <w:rFonts w:hint="eastAsia" w:ascii="仿宋" w:hAnsi="仿宋" w:eastAsia="仿宋" w:cs="仿宋"/>
          <w:b/>
          <w:bCs/>
          <w:i w:val="0"/>
          <w:iCs w:val="0"/>
          <w:kern w:val="2"/>
          <w:sz w:val="28"/>
          <w:szCs w:val="28"/>
          <w:highlight w:val="none"/>
        </w:rPr>
        <w:t>第二条  甲方责任</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6B3867B">
      <w:pPr>
        <w:pStyle w:val="38"/>
        <w:spacing w:beforeLines="0" w:afterLines="0" w:line="500" w:lineRule="exact"/>
        <w:ind w:firstLine="560" w:firstLineChars="200"/>
        <w:jc w:val="both"/>
        <w:rPr>
          <w:rStyle w:val="39"/>
          <w:rFonts w:hint="eastAsia" w:ascii="仿宋" w:hAnsi="仿宋" w:eastAsia="仿宋" w:cs="仿宋"/>
          <w:i w:val="0"/>
          <w:kern w:val="2"/>
          <w:sz w:val="28"/>
          <w:szCs w:val="28"/>
          <w:highlight w:val="none"/>
        </w:rPr>
      </w:pPr>
      <w:r>
        <w:rPr>
          <w:rStyle w:val="39"/>
          <w:rFonts w:hint="eastAsia" w:ascii="仿宋" w:hAnsi="仿宋" w:eastAsia="仿宋" w:cs="仿宋"/>
          <w:i w:val="0"/>
          <w:kern w:val="2"/>
          <w:sz w:val="28"/>
          <w:szCs w:val="28"/>
          <w:highlight w:val="none"/>
        </w:rPr>
        <w:t>（一）不准向乙方和相关单位索要或接收回扣、礼金、有价证券、贵重物品和好处费、感谢费等不正当利益。对推辞不掉的礼金、有价证劵、贵重物品等，应在3日内上交纪检监察部门。</w:t>
      </w:r>
    </w:p>
    <w:p w14:paraId="68E6564B">
      <w:pPr>
        <w:pStyle w:val="38"/>
        <w:spacing w:beforeLines="0" w:afterLines="0" w:line="500" w:lineRule="exact"/>
        <w:ind w:firstLine="560" w:firstLineChars="200"/>
        <w:jc w:val="both"/>
        <w:rPr>
          <w:rStyle w:val="39"/>
          <w:rFonts w:hint="eastAsia" w:ascii="仿宋" w:hAnsi="仿宋" w:eastAsia="仿宋" w:cs="仿宋"/>
          <w:i w:val="0"/>
          <w:kern w:val="2"/>
          <w:sz w:val="28"/>
          <w:szCs w:val="28"/>
          <w:highlight w:val="none"/>
        </w:rPr>
      </w:pPr>
      <w:r>
        <w:rPr>
          <w:rStyle w:val="39"/>
          <w:rFonts w:hint="eastAsia" w:ascii="仿宋" w:hAnsi="仿宋" w:eastAsia="仿宋" w:cs="仿宋"/>
          <w:i w:val="0"/>
          <w:kern w:val="2"/>
          <w:sz w:val="28"/>
          <w:szCs w:val="28"/>
          <w:highlight w:val="none"/>
        </w:rPr>
        <w:t>（二）不准在乙方和相关单位报销任何应由甲方或其相关个人支付的费用。</w:t>
      </w:r>
    </w:p>
    <w:p w14:paraId="0A37BE38">
      <w:pPr>
        <w:pStyle w:val="38"/>
        <w:spacing w:beforeLines="0" w:afterLines="0" w:line="500" w:lineRule="exact"/>
        <w:ind w:firstLine="560" w:firstLineChars="200"/>
        <w:jc w:val="both"/>
        <w:rPr>
          <w:rStyle w:val="39"/>
          <w:rFonts w:hint="eastAsia" w:ascii="仿宋" w:hAnsi="仿宋" w:eastAsia="仿宋" w:cs="仿宋"/>
          <w:i w:val="0"/>
          <w:kern w:val="2"/>
          <w:sz w:val="28"/>
          <w:szCs w:val="28"/>
          <w:highlight w:val="none"/>
        </w:rPr>
      </w:pPr>
      <w:r>
        <w:rPr>
          <w:rStyle w:val="39"/>
          <w:rFonts w:hint="eastAsia" w:ascii="仿宋" w:hAnsi="仿宋" w:eastAsia="仿宋" w:cs="仿宋"/>
          <w:i w:val="0"/>
          <w:kern w:val="2"/>
          <w:sz w:val="28"/>
          <w:szCs w:val="28"/>
          <w:highlight w:val="none"/>
        </w:rPr>
        <w:t>（三）不准要求、暗示或接受乙方和相关单位为个人装修住房、婚丧、娶嫁、配偶子女的工作安排以及出国（境）、旅游等提供方便。</w:t>
      </w:r>
    </w:p>
    <w:p w14:paraId="166030C6">
      <w:pPr>
        <w:pStyle w:val="38"/>
        <w:spacing w:beforeLines="0" w:afterLines="0" w:line="500" w:lineRule="exact"/>
        <w:ind w:firstLine="560" w:firstLineChars="200"/>
        <w:jc w:val="both"/>
        <w:rPr>
          <w:rStyle w:val="39"/>
          <w:rFonts w:hint="eastAsia" w:ascii="仿宋" w:hAnsi="仿宋" w:eastAsia="仿宋" w:cs="仿宋"/>
          <w:i w:val="0"/>
          <w:kern w:val="2"/>
          <w:sz w:val="28"/>
          <w:szCs w:val="28"/>
          <w:highlight w:val="none"/>
        </w:rPr>
      </w:pPr>
      <w:r>
        <w:rPr>
          <w:rStyle w:val="39"/>
          <w:rFonts w:hint="eastAsia" w:ascii="仿宋" w:hAnsi="仿宋" w:eastAsia="仿宋" w:cs="仿宋"/>
          <w:i w:val="0"/>
          <w:kern w:val="2"/>
          <w:sz w:val="28"/>
          <w:szCs w:val="28"/>
          <w:highlight w:val="none"/>
        </w:rPr>
        <w:t>（四）不准参加有可能影响公正执行公务的乙方和相关单位的宴请、健身、娱乐等活动。</w:t>
      </w:r>
    </w:p>
    <w:p w14:paraId="7519C86A">
      <w:pPr>
        <w:pStyle w:val="38"/>
        <w:spacing w:beforeLines="0" w:afterLines="0" w:line="500" w:lineRule="exact"/>
        <w:ind w:firstLine="560" w:firstLineChars="200"/>
        <w:jc w:val="both"/>
        <w:rPr>
          <w:rStyle w:val="39"/>
          <w:rFonts w:hint="eastAsia" w:ascii="仿宋" w:hAnsi="仿宋" w:eastAsia="仿宋" w:cs="仿宋"/>
          <w:i w:val="0"/>
          <w:kern w:val="2"/>
          <w:sz w:val="28"/>
          <w:szCs w:val="28"/>
          <w:highlight w:val="none"/>
        </w:rPr>
      </w:pPr>
      <w:r>
        <w:rPr>
          <w:rStyle w:val="39"/>
          <w:rFonts w:hint="eastAsia" w:ascii="仿宋" w:hAnsi="仿宋" w:eastAsia="仿宋" w:cs="仿宋"/>
          <w:i w:val="0"/>
          <w:kern w:val="2"/>
          <w:sz w:val="28"/>
          <w:szCs w:val="28"/>
          <w:highlight w:val="none"/>
        </w:rPr>
        <w:t>（五）不准向乙方和相关单位介绍或为配偶、子女、亲属参与甲方与主合同有关的可能影响合同履行公正性的活动。</w:t>
      </w:r>
    </w:p>
    <w:p w14:paraId="29CF295C">
      <w:pPr>
        <w:pStyle w:val="38"/>
        <w:spacing w:beforeLines="0" w:afterLines="0" w:line="500" w:lineRule="exact"/>
        <w:ind w:firstLine="562" w:firstLineChars="200"/>
        <w:jc w:val="both"/>
        <w:outlineLvl w:val="0"/>
        <w:rPr>
          <w:rStyle w:val="39"/>
          <w:rFonts w:hint="eastAsia" w:ascii="仿宋" w:hAnsi="仿宋" w:eastAsia="仿宋" w:cs="仿宋"/>
          <w:b/>
          <w:bCs/>
          <w:i w:val="0"/>
          <w:iCs w:val="0"/>
          <w:kern w:val="2"/>
          <w:sz w:val="28"/>
          <w:szCs w:val="28"/>
          <w:highlight w:val="none"/>
        </w:rPr>
      </w:pPr>
      <w:bookmarkStart w:id="42" w:name="_Toc5761_WPSOffice_Level1"/>
      <w:bookmarkStart w:id="43" w:name="_Toc4898_WPSOffice_Level1"/>
      <w:bookmarkStart w:id="44" w:name="_Toc9025"/>
      <w:bookmarkStart w:id="45" w:name="_Toc29284"/>
      <w:bookmarkStart w:id="46" w:name="_Toc18058"/>
      <w:bookmarkStart w:id="47" w:name="_Toc2599"/>
      <w:bookmarkStart w:id="48" w:name="_Toc14570"/>
      <w:bookmarkStart w:id="49" w:name="_Toc15446"/>
      <w:bookmarkStart w:id="50" w:name="_Toc32084"/>
      <w:bookmarkStart w:id="51" w:name="_Toc6389_WPSOffice_Level1"/>
      <w:bookmarkStart w:id="52" w:name="_Toc21166"/>
      <w:bookmarkStart w:id="53" w:name="_Toc1547"/>
      <w:bookmarkStart w:id="54" w:name="_Toc3578"/>
      <w:bookmarkStart w:id="55" w:name="_Toc2816"/>
      <w:bookmarkStart w:id="56" w:name="_Toc17208_WPSOffice_Level1"/>
      <w:bookmarkStart w:id="57" w:name="_Toc28699"/>
      <w:r>
        <w:rPr>
          <w:rStyle w:val="39"/>
          <w:rFonts w:hint="eastAsia" w:ascii="仿宋" w:hAnsi="仿宋" w:eastAsia="仿宋" w:cs="仿宋"/>
          <w:b/>
          <w:bCs/>
          <w:i w:val="0"/>
          <w:iCs w:val="0"/>
          <w:kern w:val="2"/>
          <w:sz w:val="28"/>
          <w:szCs w:val="28"/>
          <w:highlight w:val="none"/>
        </w:rPr>
        <w:t>第三条  乙方责任</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373782C">
      <w:pPr>
        <w:pStyle w:val="38"/>
        <w:spacing w:beforeLines="0" w:afterLines="0" w:line="500" w:lineRule="exact"/>
        <w:ind w:firstLine="560" w:firstLineChars="200"/>
        <w:jc w:val="both"/>
        <w:rPr>
          <w:rStyle w:val="39"/>
          <w:rFonts w:hint="eastAsia" w:ascii="仿宋" w:hAnsi="仿宋" w:eastAsia="仿宋" w:cs="仿宋"/>
          <w:i w:val="0"/>
          <w:kern w:val="2"/>
          <w:sz w:val="28"/>
          <w:szCs w:val="28"/>
          <w:highlight w:val="none"/>
        </w:rPr>
      </w:pPr>
      <w:r>
        <w:rPr>
          <w:rStyle w:val="39"/>
          <w:rFonts w:hint="eastAsia" w:ascii="仿宋" w:hAnsi="仿宋" w:eastAsia="仿宋" w:cs="仿宋"/>
          <w:i w:val="0"/>
          <w:kern w:val="2"/>
          <w:sz w:val="28"/>
          <w:szCs w:val="28"/>
          <w:highlight w:val="none"/>
        </w:rPr>
        <w:t>乙方应与甲方保持正常的业务交往，按照有关法律法规和程序开展业务工作，严格执行有关方针、政策，认真履行</w:t>
      </w:r>
      <w:r>
        <w:rPr>
          <w:rFonts w:hint="eastAsia" w:ascii="仿宋" w:hAnsi="仿宋" w:eastAsia="仿宋" w:cs="仿宋"/>
          <w:i w:val="0"/>
          <w:kern w:val="2"/>
          <w:sz w:val="28"/>
          <w:szCs w:val="28"/>
          <w:highlight w:val="none"/>
        </w:rPr>
        <w:t>合同</w:t>
      </w:r>
      <w:r>
        <w:rPr>
          <w:rStyle w:val="39"/>
          <w:rFonts w:hint="eastAsia" w:ascii="仿宋" w:hAnsi="仿宋" w:eastAsia="仿宋" w:cs="仿宋"/>
          <w:i w:val="0"/>
          <w:kern w:val="2"/>
          <w:sz w:val="28"/>
          <w:szCs w:val="28"/>
          <w:highlight w:val="none"/>
        </w:rPr>
        <w:t>职责，并遵守以下规定：</w:t>
      </w:r>
    </w:p>
    <w:p w14:paraId="3DA5C5C3">
      <w:pPr>
        <w:pStyle w:val="38"/>
        <w:spacing w:beforeLines="0" w:afterLines="0" w:line="500" w:lineRule="exact"/>
        <w:ind w:firstLine="560" w:firstLineChars="200"/>
        <w:jc w:val="both"/>
        <w:rPr>
          <w:rStyle w:val="39"/>
          <w:rFonts w:hint="eastAsia" w:ascii="仿宋" w:hAnsi="仿宋" w:eastAsia="仿宋" w:cs="仿宋"/>
          <w:i w:val="0"/>
          <w:iCs w:val="0"/>
          <w:kern w:val="2"/>
          <w:sz w:val="28"/>
          <w:szCs w:val="28"/>
          <w:highlight w:val="none"/>
          <w:lang w:eastAsia="zh-CN"/>
        </w:rPr>
      </w:pPr>
      <w:r>
        <w:rPr>
          <w:rStyle w:val="39"/>
          <w:rFonts w:hint="eastAsia" w:ascii="仿宋" w:hAnsi="仿宋" w:eastAsia="仿宋" w:cs="仿宋"/>
          <w:i w:val="0"/>
          <w:kern w:val="2"/>
          <w:sz w:val="28"/>
          <w:szCs w:val="28"/>
          <w:highlight w:val="none"/>
        </w:rPr>
        <w:t>（一）不准以任何理由向甲方及其工作人员索要、接受或赠送礼金、有价证券、贵重物品及回扣、好处费、感谢</w:t>
      </w:r>
      <w:r>
        <w:rPr>
          <w:rStyle w:val="39"/>
          <w:rFonts w:hint="eastAsia" w:ascii="仿宋" w:hAnsi="仿宋" w:eastAsia="仿宋" w:cs="仿宋"/>
          <w:i w:val="0"/>
          <w:iCs w:val="0"/>
          <w:kern w:val="2"/>
          <w:sz w:val="28"/>
          <w:szCs w:val="28"/>
          <w:highlight w:val="none"/>
        </w:rPr>
        <w:t>费等不正当利益</w:t>
      </w:r>
      <w:r>
        <w:rPr>
          <w:rStyle w:val="39"/>
          <w:rFonts w:hint="eastAsia" w:ascii="仿宋" w:hAnsi="仿宋" w:eastAsia="仿宋" w:cs="仿宋"/>
          <w:i w:val="0"/>
          <w:iCs w:val="0"/>
          <w:kern w:val="2"/>
          <w:sz w:val="28"/>
          <w:szCs w:val="28"/>
          <w:highlight w:val="none"/>
          <w:lang w:eastAsia="zh-CN"/>
        </w:rPr>
        <w:t>；</w:t>
      </w:r>
      <w:r>
        <w:rPr>
          <w:rStyle w:val="39"/>
          <w:rFonts w:hint="eastAsia" w:ascii="仿宋" w:hAnsi="仿宋" w:eastAsia="仿宋" w:cs="仿宋"/>
          <w:i w:val="0"/>
          <w:iCs w:val="0"/>
          <w:caps w:val="0"/>
          <w:color w:val="404040"/>
          <w:spacing w:val="0"/>
          <w:kern w:val="2"/>
          <w:sz w:val="28"/>
          <w:szCs w:val="28"/>
          <w:highlight w:val="none"/>
          <w:shd w:val="clear" w:fill="FFFFFF"/>
          <w:lang w:val="en-US" w:eastAsia="zh-CN"/>
        </w:rPr>
        <w:t>不得</w:t>
      </w:r>
      <w:r>
        <w:rPr>
          <w:rStyle w:val="39"/>
          <w:rFonts w:hint="eastAsia" w:ascii="仿宋" w:hAnsi="仿宋" w:eastAsia="仿宋" w:cs="仿宋"/>
          <w:i w:val="0"/>
          <w:iCs w:val="0"/>
          <w:caps w:val="0"/>
          <w:color w:val="404040"/>
          <w:spacing w:val="0"/>
          <w:kern w:val="2"/>
          <w:sz w:val="28"/>
          <w:szCs w:val="28"/>
          <w:highlight w:val="none"/>
          <w:shd w:val="clear" w:fill="FFFFFF"/>
        </w:rPr>
        <w:t>以科研经费、咨询费、服务费等名义变相支付不当利益</w:t>
      </w:r>
      <w:r>
        <w:rPr>
          <w:rStyle w:val="39"/>
          <w:rFonts w:hint="eastAsia" w:ascii="仿宋" w:hAnsi="仿宋" w:eastAsia="仿宋" w:cs="仿宋"/>
          <w:i w:val="0"/>
          <w:iCs w:val="0"/>
          <w:caps w:val="0"/>
          <w:color w:val="404040"/>
          <w:spacing w:val="0"/>
          <w:kern w:val="2"/>
          <w:sz w:val="28"/>
          <w:szCs w:val="28"/>
          <w:highlight w:val="none"/>
          <w:shd w:val="clear" w:fill="FFFFFF"/>
          <w:lang w:eastAsia="zh-CN"/>
        </w:rPr>
        <w:t>。</w:t>
      </w:r>
    </w:p>
    <w:p w14:paraId="4032E793">
      <w:pPr>
        <w:pStyle w:val="38"/>
        <w:spacing w:beforeLines="0" w:afterLines="0" w:line="500" w:lineRule="exact"/>
        <w:ind w:firstLine="560" w:firstLineChars="200"/>
        <w:jc w:val="both"/>
        <w:rPr>
          <w:rStyle w:val="39"/>
          <w:rFonts w:hint="eastAsia" w:ascii="仿宋" w:hAnsi="仿宋" w:eastAsia="仿宋" w:cs="仿宋"/>
          <w:i w:val="0"/>
          <w:kern w:val="2"/>
          <w:sz w:val="28"/>
          <w:szCs w:val="28"/>
          <w:highlight w:val="none"/>
        </w:rPr>
      </w:pPr>
      <w:r>
        <w:rPr>
          <w:rStyle w:val="39"/>
          <w:rFonts w:hint="eastAsia" w:ascii="仿宋" w:hAnsi="仿宋" w:eastAsia="仿宋" w:cs="仿宋"/>
          <w:i w:val="0"/>
          <w:kern w:val="2"/>
          <w:sz w:val="28"/>
          <w:szCs w:val="28"/>
          <w:highlight w:val="none"/>
        </w:rPr>
        <w:t>（二）不准以任何理由为甲方和相关单位报销应由对方或相关人支付的费用。</w:t>
      </w:r>
    </w:p>
    <w:p w14:paraId="44A91B22">
      <w:pPr>
        <w:pStyle w:val="38"/>
        <w:spacing w:beforeLines="0" w:afterLines="0" w:line="500" w:lineRule="exact"/>
        <w:ind w:firstLine="560" w:firstLineChars="200"/>
        <w:jc w:val="both"/>
        <w:rPr>
          <w:rStyle w:val="39"/>
          <w:rFonts w:hint="eastAsia" w:ascii="仿宋" w:hAnsi="仿宋" w:eastAsia="仿宋" w:cs="仿宋"/>
          <w:i w:val="0"/>
          <w:kern w:val="2"/>
          <w:sz w:val="28"/>
          <w:szCs w:val="28"/>
          <w:highlight w:val="none"/>
        </w:rPr>
      </w:pPr>
      <w:r>
        <w:rPr>
          <w:rStyle w:val="39"/>
          <w:rFonts w:hint="eastAsia" w:ascii="仿宋" w:hAnsi="仿宋" w:eastAsia="仿宋" w:cs="仿宋"/>
          <w:i w:val="0"/>
          <w:kern w:val="2"/>
          <w:sz w:val="28"/>
          <w:szCs w:val="28"/>
          <w:highlight w:val="none"/>
        </w:rPr>
        <w:t>（三）不准接受或暗示为甲方、相关单位为个人装修住房、婚丧、娶嫁、配偶子女的工作安排以及出国（境）、旅游等提供方便。</w:t>
      </w:r>
    </w:p>
    <w:p w14:paraId="27053EEB">
      <w:pPr>
        <w:pStyle w:val="38"/>
        <w:spacing w:beforeLines="0" w:afterLines="0" w:line="500" w:lineRule="exact"/>
        <w:ind w:firstLine="560" w:firstLineChars="200"/>
        <w:jc w:val="both"/>
        <w:rPr>
          <w:rStyle w:val="39"/>
          <w:rFonts w:hint="eastAsia" w:ascii="仿宋" w:hAnsi="仿宋" w:eastAsia="仿宋" w:cs="仿宋"/>
          <w:i w:val="0"/>
          <w:iCs w:val="0"/>
          <w:kern w:val="2"/>
          <w:sz w:val="28"/>
          <w:szCs w:val="28"/>
          <w:highlight w:val="none"/>
        </w:rPr>
      </w:pPr>
      <w:r>
        <w:rPr>
          <w:rStyle w:val="39"/>
          <w:rFonts w:hint="eastAsia" w:ascii="仿宋" w:hAnsi="仿宋" w:eastAsia="仿宋" w:cs="仿宋"/>
          <w:i w:val="0"/>
          <w:kern w:val="2"/>
          <w:sz w:val="28"/>
          <w:szCs w:val="28"/>
          <w:highlight w:val="none"/>
        </w:rPr>
        <w:t>（四）不准以任何理由为甲方、相关单位或个人组织有可能影响公正执</w:t>
      </w:r>
      <w:r>
        <w:rPr>
          <w:rStyle w:val="39"/>
          <w:rFonts w:hint="eastAsia" w:ascii="仿宋" w:hAnsi="仿宋" w:eastAsia="仿宋" w:cs="仿宋"/>
          <w:i w:val="0"/>
          <w:iCs w:val="0"/>
          <w:kern w:val="2"/>
          <w:sz w:val="28"/>
          <w:szCs w:val="28"/>
          <w:highlight w:val="none"/>
        </w:rPr>
        <w:t>行公务的宴请、健身、娱乐等活动。</w:t>
      </w:r>
    </w:p>
    <w:p w14:paraId="1699E545">
      <w:pPr>
        <w:spacing w:beforeLines="0" w:afterLines="0" w:line="500" w:lineRule="exact"/>
        <w:ind w:firstLine="560" w:firstLineChars="200"/>
        <w:rPr>
          <w:rStyle w:val="39"/>
          <w:rFonts w:hint="eastAsia" w:ascii="仿宋" w:hAnsi="仿宋" w:eastAsia="仿宋" w:cs="仿宋"/>
          <w:i w:val="0"/>
          <w:iCs w:val="0"/>
          <w:sz w:val="28"/>
          <w:szCs w:val="28"/>
          <w:highlight w:val="none"/>
          <w:u w:val="none"/>
          <w:lang w:eastAsia="zh-CN"/>
        </w:rPr>
      </w:pPr>
      <w:r>
        <w:rPr>
          <w:rStyle w:val="39"/>
          <w:rFonts w:hint="eastAsia" w:ascii="仿宋" w:hAnsi="仿宋" w:eastAsia="仿宋" w:cs="仿宋"/>
          <w:i w:val="0"/>
          <w:iCs w:val="0"/>
          <w:caps w:val="0"/>
          <w:color w:val="404040"/>
          <w:spacing w:val="0"/>
          <w:sz w:val="28"/>
          <w:szCs w:val="28"/>
          <w:highlight w:val="none"/>
          <w:u w:val="none"/>
          <w:shd w:val="clear" w:fill="FFFFFF"/>
        </w:rPr>
        <w:t>（</w:t>
      </w:r>
      <w:r>
        <w:rPr>
          <w:rStyle w:val="39"/>
          <w:rFonts w:hint="eastAsia" w:ascii="仿宋" w:hAnsi="仿宋" w:eastAsia="仿宋" w:cs="仿宋"/>
          <w:i w:val="0"/>
          <w:iCs w:val="0"/>
          <w:caps w:val="0"/>
          <w:color w:val="404040"/>
          <w:spacing w:val="0"/>
          <w:sz w:val="28"/>
          <w:szCs w:val="28"/>
          <w:highlight w:val="none"/>
          <w:u w:val="none"/>
          <w:shd w:val="clear" w:fill="FFFFFF"/>
          <w:lang w:val="en-US" w:eastAsia="zh-CN"/>
        </w:rPr>
        <w:t>五</w:t>
      </w:r>
      <w:r>
        <w:rPr>
          <w:rStyle w:val="39"/>
          <w:rFonts w:hint="eastAsia" w:ascii="仿宋" w:hAnsi="仿宋" w:eastAsia="仿宋" w:cs="仿宋"/>
          <w:i w:val="0"/>
          <w:iCs w:val="0"/>
          <w:caps w:val="0"/>
          <w:color w:val="404040"/>
          <w:spacing w:val="0"/>
          <w:sz w:val="28"/>
          <w:szCs w:val="28"/>
          <w:highlight w:val="none"/>
          <w:u w:val="none"/>
          <w:shd w:val="clear" w:fill="FFFFFF"/>
        </w:rPr>
        <w:t>）发现甲方人员主动索贿的，应在24小时内通过指定渠道向甲方</w:t>
      </w:r>
      <w:r>
        <w:rPr>
          <w:rStyle w:val="39"/>
          <w:rFonts w:hint="eastAsia" w:ascii="仿宋" w:hAnsi="仿宋" w:eastAsia="仿宋" w:cs="仿宋"/>
          <w:i w:val="0"/>
          <w:iCs w:val="0"/>
          <w:caps w:val="0"/>
          <w:color w:val="404040"/>
          <w:spacing w:val="0"/>
          <w:sz w:val="28"/>
          <w:szCs w:val="28"/>
          <w:highlight w:val="none"/>
          <w:u w:val="none"/>
          <w:shd w:val="clear" w:fill="FFFFFF"/>
          <w:lang w:val="en-US" w:eastAsia="zh-CN"/>
        </w:rPr>
        <w:t>纪检监督</w:t>
      </w:r>
      <w:r>
        <w:rPr>
          <w:rStyle w:val="39"/>
          <w:rFonts w:hint="eastAsia" w:ascii="仿宋" w:hAnsi="仿宋" w:eastAsia="仿宋" w:cs="仿宋"/>
          <w:i w:val="0"/>
          <w:iCs w:val="0"/>
          <w:caps w:val="0"/>
          <w:color w:val="404040"/>
          <w:spacing w:val="0"/>
          <w:sz w:val="28"/>
          <w:szCs w:val="28"/>
          <w:highlight w:val="none"/>
          <w:u w:val="none"/>
          <w:shd w:val="clear" w:fill="FFFFFF"/>
        </w:rPr>
        <w:t>部门实名报告</w:t>
      </w:r>
      <w:r>
        <w:rPr>
          <w:rStyle w:val="39"/>
          <w:rFonts w:hint="eastAsia" w:ascii="仿宋" w:hAnsi="仿宋" w:eastAsia="仿宋" w:cs="仿宋"/>
          <w:i w:val="0"/>
          <w:iCs w:val="0"/>
          <w:caps w:val="0"/>
          <w:color w:val="404040"/>
          <w:spacing w:val="0"/>
          <w:sz w:val="28"/>
          <w:szCs w:val="28"/>
          <w:highlight w:val="none"/>
          <w:u w:val="none"/>
          <w:shd w:val="clear" w:fill="FFFFFF"/>
          <w:lang w:eastAsia="zh-CN"/>
        </w:rPr>
        <w:t>。</w:t>
      </w:r>
    </w:p>
    <w:p w14:paraId="3472DF93">
      <w:pPr>
        <w:pStyle w:val="38"/>
        <w:spacing w:beforeLines="0" w:afterLines="0" w:line="500" w:lineRule="exact"/>
        <w:ind w:firstLine="562" w:firstLineChars="200"/>
        <w:jc w:val="both"/>
        <w:outlineLvl w:val="0"/>
        <w:rPr>
          <w:rStyle w:val="39"/>
          <w:rFonts w:hint="eastAsia" w:ascii="仿宋" w:hAnsi="仿宋" w:eastAsia="仿宋" w:cs="仿宋"/>
          <w:b/>
          <w:bCs/>
          <w:i w:val="0"/>
          <w:iCs w:val="0"/>
          <w:kern w:val="2"/>
          <w:sz w:val="28"/>
          <w:szCs w:val="28"/>
          <w:highlight w:val="none"/>
        </w:rPr>
      </w:pPr>
      <w:bookmarkStart w:id="58" w:name="_Toc621_WPSOffice_Level1"/>
      <w:bookmarkStart w:id="59" w:name="_Toc19452"/>
      <w:bookmarkStart w:id="60" w:name="_Toc13057_WPSOffice_Level1"/>
      <w:bookmarkStart w:id="61" w:name="_Toc19856"/>
      <w:bookmarkStart w:id="62" w:name="_Toc9225"/>
      <w:bookmarkStart w:id="63" w:name="_Toc3842"/>
      <w:bookmarkStart w:id="64" w:name="_Toc1100_WPSOffice_Level1"/>
      <w:bookmarkStart w:id="65" w:name="_Toc15272"/>
      <w:bookmarkStart w:id="66" w:name="_Toc26039"/>
      <w:bookmarkStart w:id="67" w:name="_Toc22426"/>
      <w:bookmarkStart w:id="68" w:name="_Toc23696_WPSOffice_Level1"/>
      <w:bookmarkStart w:id="69" w:name="_Toc6177"/>
      <w:bookmarkStart w:id="70" w:name="_Toc28319"/>
      <w:bookmarkStart w:id="71" w:name="_Toc31035"/>
      <w:bookmarkStart w:id="72" w:name="_Toc11501"/>
      <w:bookmarkStart w:id="73" w:name="_Toc16292"/>
      <w:r>
        <w:rPr>
          <w:rStyle w:val="39"/>
          <w:rFonts w:hint="eastAsia" w:ascii="仿宋" w:hAnsi="仿宋" w:eastAsia="仿宋" w:cs="仿宋"/>
          <w:b/>
          <w:bCs/>
          <w:i w:val="0"/>
          <w:iCs w:val="0"/>
          <w:kern w:val="2"/>
          <w:sz w:val="28"/>
          <w:szCs w:val="28"/>
          <w:highlight w:val="none"/>
        </w:rPr>
        <w:t>第四条  违约责任</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1CC8C36">
      <w:pPr>
        <w:pStyle w:val="38"/>
        <w:spacing w:beforeLines="0" w:afterLines="0" w:line="500" w:lineRule="exact"/>
        <w:ind w:firstLine="560" w:firstLineChars="200"/>
        <w:jc w:val="both"/>
        <w:rPr>
          <w:rStyle w:val="39"/>
          <w:rFonts w:hint="eastAsia" w:ascii="仿宋" w:hAnsi="仿宋" w:eastAsia="仿宋" w:cs="仿宋"/>
          <w:i w:val="0"/>
          <w:kern w:val="2"/>
          <w:sz w:val="28"/>
          <w:szCs w:val="28"/>
          <w:highlight w:val="none"/>
        </w:rPr>
      </w:pPr>
      <w:r>
        <w:rPr>
          <w:rStyle w:val="39"/>
          <w:rFonts w:hint="eastAsia" w:ascii="仿宋" w:hAnsi="仿宋" w:eastAsia="仿宋" w:cs="仿宋"/>
          <w:i w:val="0"/>
          <w:kern w:val="2"/>
          <w:sz w:val="28"/>
          <w:szCs w:val="28"/>
          <w:highlight w:val="none"/>
        </w:rPr>
        <w:t>（一）甲方如发生违反本协议行为，按照管理权限，视情节并依据有关法律法规和规定交由有关部门给予党纪、政纪处分或组织处理；涉嫌犯罪的，移交司法机关追究刑事责任。</w:t>
      </w:r>
    </w:p>
    <w:p w14:paraId="16AE1065">
      <w:pPr>
        <w:pStyle w:val="38"/>
        <w:spacing w:beforeLines="0" w:afterLines="0" w:line="500" w:lineRule="exact"/>
        <w:ind w:firstLine="560" w:firstLineChars="200"/>
        <w:jc w:val="both"/>
        <w:rPr>
          <w:rStyle w:val="39"/>
          <w:rFonts w:hint="eastAsia" w:ascii="仿宋" w:hAnsi="仿宋" w:eastAsia="仿宋" w:cs="仿宋"/>
          <w:i w:val="0"/>
          <w:kern w:val="2"/>
          <w:sz w:val="28"/>
          <w:szCs w:val="28"/>
          <w:highlight w:val="none"/>
        </w:rPr>
      </w:pPr>
      <w:r>
        <w:rPr>
          <w:rStyle w:val="39"/>
          <w:rFonts w:hint="eastAsia" w:ascii="仿宋" w:hAnsi="仿宋" w:eastAsia="仿宋" w:cs="仿宋"/>
          <w:i w:val="0"/>
          <w:kern w:val="2"/>
          <w:sz w:val="28"/>
          <w:szCs w:val="28"/>
          <w:highlight w:val="none"/>
        </w:rPr>
        <w:t>（二）乙方如发生违反本协议行为</w:t>
      </w:r>
      <w:r>
        <w:rPr>
          <w:rStyle w:val="39"/>
          <w:rFonts w:hint="eastAsia" w:ascii="仿宋" w:hAnsi="仿宋" w:eastAsia="仿宋" w:cs="仿宋"/>
          <w:i w:val="0"/>
          <w:kern w:val="2"/>
          <w:sz w:val="28"/>
          <w:szCs w:val="28"/>
          <w:highlight w:val="none"/>
          <w:lang w:val="en-US" w:eastAsia="zh-CN"/>
        </w:rPr>
        <w:t>,</w:t>
      </w:r>
      <w:r>
        <w:rPr>
          <w:rStyle w:val="39"/>
          <w:rFonts w:hint="eastAsia" w:ascii="仿宋" w:hAnsi="仿宋" w:eastAsia="仿宋" w:cs="仿宋"/>
          <w:i w:val="0"/>
          <w:kern w:val="2"/>
          <w:sz w:val="28"/>
          <w:szCs w:val="28"/>
          <w:highlight w:val="none"/>
        </w:rPr>
        <w:t>涉嫌犯罪的，移交司法机关追究刑事责任；给甲方单位造成经济损失的，</w:t>
      </w:r>
      <w:r>
        <w:rPr>
          <w:rStyle w:val="39"/>
          <w:rFonts w:hint="eastAsia" w:ascii="仿宋" w:hAnsi="仿宋" w:eastAsia="仿宋" w:cs="仿宋"/>
          <w:i w:val="0"/>
          <w:kern w:val="2"/>
          <w:sz w:val="28"/>
          <w:szCs w:val="28"/>
          <w:highlight w:val="none"/>
          <w:lang w:val="en-US" w:eastAsia="zh-CN"/>
        </w:rPr>
        <w:t>乙方</w:t>
      </w:r>
      <w:r>
        <w:rPr>
          <w:rStyle w:val="39"/>
          <w:rFonts w:hint="eastAsia" w:ascii="仿宋" w:hAnsi="仿宋" w:eastAsia="仿宋" w:cs="仿宋"/>
          <w:i w:val="0"/>
          <w:kern w:val="2"/>
          <w:sz w:val="28"/>
          <w:szCs w:val="28"/>
          <w:highlight w:val="none"/>
        </w:rPr>
        <w:t>应予以赔偿</w:t>
      </w:r>
      <w:r>
        <w:rPr>
          <w:rStyle w:val="39"/>
          <w:rFonts w:hint="eastAsia" w:ascii="仿宋" w:hAnsi="仿宋" w:eastAsia="仿宋" w:cs="仿宋"/>
          <w:i w:val="0"/>
          <w:kern w:val="2"/>
          <w:sz w:val="28"/>
          <w:szCs w:val="28"/>
          <w:highlight w:val="none"/>
          <w:lang w:val="en-US" w:eastAsia="zh-CN"/>
        </w:rPr>
        <w:t>并按主合同总金额20%向甲方支付违约金，同时甲方有权解除主合同且不承担违约责任。</w:t>
      </w:r>
    </w:p>
    <w:p w14:paraId="15B52DC9">
      <w:pPr>
        <w:pStyle w:val="38"/>
        <w:spacing w:beforeLines="0" w:afterLines="0" w:line="500" w:lineRule="exact"/>
        <w:ind w:firstLine="562" w:firstLineChars="200"/>
        <w:jc w:val="both"/>
        <w:rPr>
          <w:rStyle w:val="39"/>
          <w:rFonts w:hint="eastAsia" w:ascii="仿宋" w:hAnsi="仿宋" w:eastAsia="仿宋" w:cs="仿宋"/>
          <w:i w:val="0"/>
          <w:kern w:val="2"/>
          <w:sz w:val="28"/>
          <w:szCs w:val="28"/>
          <w:highlight w:val="none"/>
        </w:rPr>
      </w:pPr>
      <w:bookmarkStart w:id="74" w:name="_Toc16639"/>
      <w:bookmarkStart w:id="75" w:name="_Toc31663"/>
      <w:bookmarkStart w:id="76" w:name="_Toc10574"/>
      <w:bookmarkStart w:id="77" w:name="_Toc8682"/>
      <w:bookmarkStart w:id="78" w:name="_Toc28912"/>
      <w:bookmarkStart w:id="79" w:name="_Toc31539"/>
      <w:bookmarkStart w:id="80" w:name="_Toc21805"/>
      <w:bookmarkStart w:id="81" w:name="_Toc18725"/>
      <w:bookmarkStart w:id="82" w:name="_Toc591_WPSOffice_Level1"/>
      <w:bookmarkStart w:id="83" w:name="_Toc4493"/>
      <w:bookmarkStart w:id="84" w:name="_Toc10852_WPSOffice_Level1"/>
      <w:bookmarkStart w:id="85" w:name="_Toc19165"/>
      <w:bookmarkStart w:id="86" w:name="_Toc9065"/>
      <w:bookmarkStart w:id="87" w:name="_Toc16190_WPSOffice_Level1"/>
      <w:bookmarkStart w:id="88" w:name="_Toc3693"/>
      <w:bookmarkStart w:id="89" w:name="_Toc24225_WPSOffice_Level1"/>
      <w:r>
        <w:rPr>
          <w:rStyle w:val="39"/>
          <w:rFonts w:hint="eastAsia" w:ascii="仿宋" w:hAnsi="仿宋" w:eastAsia="仿宋" w:cs="仿宋"/>
          <w:b/>
          <w:bCs/>
          <w:i w:val="0"/>
          <w:iCs w:val="0"/>
          <w:kern w:val="2"/>
          <w:sz w:val="28"/>
          <w:szCs w:val="28"/>
          <w:highlight w:val="none"/>
        </w:rPr>
        <w:t xml:space="preserve">第五条  </w:t>
      </w:r>
      <w:r>
        <w:rPr>
          <w:rStyle w:val="39"/>
          <w:rFonts w:hint="eastAsia" w:ascii="仿宋" w:hAnsi="仿宋" w:eastAsia="仿宋" w:cs="仿宋"/>
          <w:b/>
          <w:bCs/>
          <w:i w:val="0"/>
          <w:iCs w:val="0"/>
          <w:kern w:val="2"/>
          <w:sz w:val="28"/>
          <w:szCs w:val="28"/>
          <w:highlight w:val="none"/>
          <w:lang w:val="en-US" w:eastAsia="zh-CN"/>
        </w:rPr>
        <w:t>其他</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D949C58">
      <w:pPr>
        <w:pStyle w:val="38"/>
        <w:spacing w:beforeLines="0" w:afterLines="0" w:line="500" w:lineRule="exact"/>
        <w:ind w:firstLine="560" w:firstLineChars="200"/>
        <w:jc w:val="both"/>
        <w:rPr>
          <w:rFonts w:hint="eastAsia" w:ascii="仿宋" w:hAnsi="仿宋" w:eastAsia="仿宋" w:cs="仿宋"/>
          <w:i w:val="0"/>
          <w:kern w:val="2"/>
          <w:sz w:val="28"/>
          <w:szCs w:val="28"/>
          <w:highlight w:val="none"/>
        </w:rPr>
      </w:pPr>
      <w:r>
        <w:rPr>
          <w:rFonts w:hint="eastAsia" w:ascii="仿宋" w:hAnsi="仿宋" w:eastAsia="仿宋" w:cs="仿宋"/>
          <w:i w:val="0"/>
          <w:kern w:val="2"/>
          <w:sz w:val="28"/>
          <w:szCs w:val="28"/>
          <w:highlight w:val="none"/>
        </w:rPr>
        <w:t>本协议由双方共同签署，作为主合同附件,与主合同具有同等法律效力，其有效期至主合同履行完结。</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4" w:space="0"/>
          <w:insideV w:val="single" w:color="auto" w:sz="4" w:space="0"/>
        </w:tblBorders>
        <w:tblLayout w:type="fixed"/>
        <w:tblCellMar>
          <w:top w:w="0" w:type="dxa"/>
          <w:left w:w="108" w:type="dxa"/>
          <w:bottom w:w="0" w:type="dxa"/>
          <w:right w:w="108" w:type="dxa"/>
        </w:tblCellMar>
      </w:tblPr>
      <w:tblGrid>
        <w:gridCol w:w="4559"/>
        <w:gridCol w:w="4559"/>
      </w:tblGrid>
      <w:tr w14:paraId="76563628">
        <w:tblPrEx>
          <w:tblBorders>
            <w:top w:val="single" w:color="auto" w:sz="4" w:space="0"/>
            <w:left w:val="single" w:color="auto" w:sz="4" w:space="0"/>
            <w:bottom w:val="single" w:color="auto" w:sz="4" w:space="0"/>
            <w:right w:val="single" w:color="auto" w:sz="4" w:space="0"/>
            <w:insideH w:val="none" w:color="auto" w:sz="4" w:space="0"/>
            <w:insideV w:val="single" w:color="auto" w:sz="4" w:space="0"/>
          </w:tblBorders>
          <w:tblCellMar>
            <w:top w:w="0" w:type="dxa"/>
            <w:left w:w="108" w:type="dxa"/>
            <w:bottom w:w="0" w:type="dxa"/>
            <w:right w:w="108" w:type="dxa"/>
          </w:tblCellMar>
        </w:tblPrEx>
        <w:tc>
          <w:tcPr>
            <w:tcW w:w="4559" w:type="dxa"/>
            <w:tcBorders>
              <w:top w:val="single" w:color="auto" w:sz="4" w:space="0"/>
              <w:left w:val="single" w:color="auto" w:sz="4" w:space="0"/>
              <w:bottom w:val="single" w:color="auto" w:sz="4" w:space="0"/>
              <w:right w:val="single" w:color="auto" w:sz="4" w:space="0"/>
            </w:tcBorders>
            <w:noWrap w:val="0"/>
            <w:vAlign w:val="center"/>
          </w:tcPr>
          <w:p w14:paraId="6F33219A">
            <w:pPr>
              <w:adjustRightInd w:val="0"/>
              <w:snapToGrid w:val="0"/>
              <w:spacing w:beforeLines="0" w:afterLines="0" w:line="500" w:lineRule="exact"/>
              <w:ind w:firstLine="1405" w:firstLineChars="500"/>
              <w:jc w:val="both"/>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bidi="ar"/>
              </w:rPr>
              <w:t>甲方</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7221C18B">
            <w:pPr>
              <w:adjustRightInd w:val="0"/>
              <w:snapToGrid w:val="0"/>
              <w:spacing w:beforeLines="0" w:afterLines="0" w:line="500" w:lineRule="exact"/>
              <w:ind w:firstLine="1968" w:firstLineChars="700"/>
              <w:jc w:val="both"/>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bidi="ar"/>
              </w:rPr>
              <w:t>乙方</w:t>
            </w:r>
          </w:p>
        </w:tc>
      </w:tr>
      <w:tr w14:paraId="4FDF7AE7">
        <w:tblPrEx>
          <w:tblBorders>
            <w:top w:val="single" w:color="auto" w:sz="4" w:space="0"/>
            <w:left w:val="single" w:color="auto" w:sz="4" w:space="0"/>
            <w:bottom w:val="single" w:color="auto" w:sz="4" w:space="0"/>
            <w:right w:val="single" w:color="auto" w:sz="4" w:space="0"/>
            <w:insideH w:val="none" w:color="auto" w:sz="4" w:space="0"/>
            <w:insideV w:val="single" w:color="auto" w:sz="4" w:space="0"/>
          </w:tblBorders>
          <w:tblCellMar>
            <w:top w:w="0" w:type="dxa"/>
            <w:left w:w="108" w:type="dxa"/>
            <w:bottom w:w="0" w:type="dxa"/>
            <w:right w:w="108" w:type="dxa"/>
          </w:tblCellMar>
        </w:tblPrEx>
        <w:trPr>
          <w:trHeight w:val="2139" w:hRule="atLeast"/>
        </w:trPr>
        <w:tc>
          <w:tcPr>
            <w:tcW w:w="4559" w:type="dxa"/>
            <w:tcBorders>
              <w:top w:val="single" w:color="auto" w:sz="4" w:space="0"/>
              <w:left w:val="single" w:color="auto" w:sz="4" w:space="0"/>
              <w:bottom w:val="single" w:color="auto" w:sz="4" w:space="0"/>
              <w:right w:val="single" w:color="auto" w:sz="4" w:space="0"/>
            </w:tcBorders>
            <w:noWrap w:val="0"/>
            <w:vAlign w:val="top"/>
          </w:tcPr>
          <w:p w14:paraId="228D486B">
            <w:pPr>
              <w:adjustRightInd w:val="0"/>
              <w:snapToGrid w:val="0"/>
              <w:spacing w:beforeLines="0" w:afterLines="0" w:line="500" w:lineRule="exact"/>
              <w:ind w:firstLine="0" w:firstLineChars="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 xml:space="preserve">单位名称（盖章）: </w:t>
            </w:r>
          </w:p>
          <w:p w14:paraId="43EAC336">
            <w:pPr>
              <w:adjustRightInd w:val="0"/>
              <w:snapToGrid w:val="0"/>
              <w:spacing w:beforeLines="0" w:afterLines="0" w:line="500" w:lineRule="exact"/>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 xml:space="preserve"> 　  　　</w:t>
            </w:r>
          </w:p>
          <w:p w14:paraId="0170BAF6">
            <w:pPr>
              <w:adjustRightInd w:val="0"/>
              <w:snapToGrid w:val="0"/>
              <w:spacing w:beforeLines="0" w:afterLines="0" w:line="500" w:lineRule="exact"/>
              <w:ind w:firstLine="0" w:firstLineChars="0"/>
              <w:rPr>
                <w:rFonts w:hint="eastAsia" w:ascii="仿宋" w:hAnsi="仿宋" w:eastAsia="仿宋" w:cs="仿宋"/>
                <w:sz w:val="28"/>
                <w:szCs w:val="28"/>
                <w:highlight w:val="none"/>
              </w:rPr>
            </w:pPr>
          </w:p>
        </w:tc>
        <w:tc>
          <w:tcPr>
            <w:tcW w:w="4559" w:type="dxa"/>
            <w:tcBorders>
              <w:top w:val="single" w:color="auto" w:sz="4" w:space="0"/>
              <w:left w:val="single" w:color="auto" w:sz="4" w:space="0"/>
              <w:bottom w:val="single" w:color="auto" w:sz="4" w:space="0"/>
              <w:right w:val="single" w:color="auto" w:sz="4" w:space="0"/>
            </w:tcBorders>
            <w:noWrap w:val="0"/>
            <w:vAlign w:val="top"/>
          </w:tcPr>
          <w:p w14:paraId="0AD74FEB">
            <w:pPr>
              <w:adjustRightInd w:val="0"/>
              <w:snapToGrid w:val="0"/>
              <w:spacing w:beforeLines="0" w:afterLines="0" w:line="500" w:lineRule="exact"/>
              <w:ind w:firstLine="0" w:firstLineChars="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 xml:space="preserve">单位名称（盖章）: </w:t>
            </w:r>
          </w:p>
          <w:p w14:paraId="795F16F1">
            <w:pPr>
              <w:adjustRightInd w:val="0"/>
              <w:snapToGrid w:val="0"/>
              <w:spacing w:beforeLines="0" w:afterLines="0" w:line="500" w:lineRule="exact"/>
              <w:ind w:firstLine="0" w:firstLineChars="0"/>
              <w:jc w:val="left"/>
              <w:rPr>
                <w:rFonts w:hint="eastAsia" w:ascii="仿宋" w:hAnsi="仿宋" w:eastAsia="仿宋" w:cs="仿宋"/>
                <w:sz w:val="28"/>
                <w:szCs w:val="28"/>
                <w:highlight w:val="none"/>
              </w:rPr>
            </w:pPr>
          </w:p>
        </w:tc>
      </w:tr>
      <w:bookmarkEnd w:id="7"/>
      <w:bookmarkEnd w:id="8"/>
      <w:bookmarkEnd w:id="9"/>
    </w:tbl>
    <w:p w14:paraId="4EC78505">
      <w:pPr>
        <w:spacing w:line="360" w:lineRule="auto"/>
        <w:ind w:firstLine="420" w:firstLineChars="200"/>
        <w:rPr>
          <w:rFonts w:ascii="宋体" w:hAnsi="宋体" w:cs="宋体"/>
          <w:highlight w:val="none"/>
        </w:rPr>
      </w:pPr>
    </w:p>
    <w:p w14:paraId="102FF7B1">
      <w:pPr>
        <w:spacing w:line="360" w:lineRule="auto"/>
        <w:ind w:firstLine="420" w:firstLineChars="200"/>
        <w:jc w:val="both"/>
        <w:rPr>
          <w:color w:val="auto"/>
          <w:highlight w:val="none"/>
        </w:rPr>
      </w:pPr>
      <w:r>
        <w:rPr>
          <w:rFonts w:hint="eastAsia" w:ascii="宋体" w:hAnsi="宋体" w:cs="宋体"/>
          <w:highlight w:val="none"/>
        </w:rPr>
        <w:t xml:space="preserve">  </w:t>
      </w:r>
    </w:p>
    <w:sectPr>
      <w:footerReference r:id="rId3" w:type="default"/>
      <w:pgSz w:w="11900" w:h="16840"/>
      <w:pgMar w:top="1440" w:right="1080" w:bottom="1440" w:left="1080" w:header="0" w:footer="4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4AEB">
    <w:pPr>
      <w:spacing w:before="1" w:line="236" w:lineRule="auto"/>
      <w:ind w:left="4501"/>
      <w:rPr>
        <w:rFonts w:ascii="微软雅黑" w:hAnsi="微软雅黑" w:eastAsia="微软雅黑" w:cs="微软雅黑"/>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D123D">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05D123D">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494EDB"/>
    <w:rsid w:val="000B69CC"/>
    <w:rsid w:val="00172F6A"/>
    <w:rsid w:val="00491A60"/>
    <w:rsid w:val="004B5A80"/>
    <w:rsid w:val="004F2C48"/>
    <w:rsid w:val="0053261D"/>
    <w:rsid w:val="00670F53"/>
    <w:rsid w:val="009708C9"/>
    <w:rsid w:val="009A4EDD"/>
    <w:rsid w:val="00B41ABE"/>
    <w:rsid w:val="00B560AE"/>
    <w:rsid w:val="00B96561"/>
    <w:rsid w:val="00BD39BB"/>
    <w:rsid w:val="00DB4716"/>
    <w:rsid w:val="00E92848"/>
    <w:rsid w:val="00F43773"/>
    <w:rsid w:val="00F4600A"/>
    <w:rsid w:val="00F90930"/>
    <w:rsid w:val="00FB47CA"/>
    <w:rsid w:val="0481300D"/>
    <w:rsid w:val="06EA3869"/>
    <w:rsid w:val="07A46A7C"/>
    <w:rsid w:val="083F3690"/>
    <w:rsid w:val="0B1F5471"/>
    <w:rsid w:val="0D2D452A"/>
    <w:rsid w:val="0DAE1515"/>
    <w:rsid w:val="0E2B0366"/>
    <w:rsid w:val="12F62DC0"/>
    <w:rsid w:val="14E54552"/>
    <w:rsid w:val="16EA560B"/>
    <w:rsid w:val="17B20EAC"/>
    <w:rsid w:val="17E94A30"/>
    <w:rsid w:val="1E981433"/>
    <w:rsid w:val="21061043"/>
    <w:rsid w:val="21863F9C"/>
    <w:rsid w:val="21B73B54"/>
    <w:rsid w:val="21BA3038"/>
    <w:rsid w:val="236E75BA"/>
    <w:rsid w:val="26AF7725"/>
    <w:rsid w:val="27CD1D51"/>
    <w:rsid w:val="29522EB6"/>
    <w:rsid w:val="2A365971"/>
    <w:rsid w:val="2C755540"/>
    <w:rsid w:val="2E105B20"/>
    <w:rsid w:val="317119F4"/>
    <w:rsid w:val="31A21915"/>
    <w:rsid w:val="329F2FEE"/>
    <w:rsid w:val="32B75F3B"/>
    <w:rsid w:val="34D10206"/>
    <w:rsid w:val="35562CDB"/>
    <w:rsid w:val="35E55774"/>
    <w:rsid w:val="3B00406B"/>
    <w:rsid w:val="3C162DFA"/>
    <w:rsid w:val="3EE604EB"/>
    <w:rsid w:val="3FD247F8"/>
    <w:rsid w:val="428B37CF"/>
    <w:rsid w:val="43956B6D"/>
    <w:rsid w:val="4539571E"/>
    <w:rsid w:val="4A2139AD"/>
    <w:rsid w:val="4B582E90"/>
    <w:rsid w:val="51F46575"/>
    <w:rsid w:val="531F3BAA"/>
    <w:rsid w:val="53E0763A"/>
    <w:rsid w:val="56BB172E"/>
    <w:rsid w:val="571915F2"/>
    <w:rsid w:val="57431B51"/>
    <w:rsid w:val="59CF1C35"/>
    <w:rsid w:val="618A0621"/>
    <w:rsid w:val="63A95C8C"/>
    <w:rsid w:val="63B65410"/>
    <w:rsid w:val="650A5824"/>
    <w:rsid w:val="680C21C5"/>
    <w:rsid w:val="68C93AF2"/>
    <w:rsid w:val="6D165F54"/>
    <w:rsid w:val="6E41588B"/>
    <w:rsid w:val="6E494EDB"/>
    <w:rsid w:val="6F784B11"/>
    <w:rsid w:val="71A3556C"/>
    <w:rsid w:val="72A33CAF"/>
    <w:rsid w:val="75EA47E5"/>
    <w:rsid w:val="76DE6608"/>
    <w:rsid w:val="79D26D62"/>
    <w:rsid w:val="7AC557E6"/>
    <w:rsid w:val="7EC8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qFormat/>
    <w:uiPriority w:val="0"/>
    <w:pPr>
      <w:keepNext/>
      <w:keepLines/>
      <w:spacing w:before="340" w:after="330" w:line="576" w:lineRule="auto"/>
      <w:outlineLvl w:val="0"/>
    </w:pPr>
    <w:rPr>
      <w:rFonts w:ascii="Times New Roman" w:hAnsi="Times New Roman" w:eastAsia="微软雅黑" w:cs="Times New Roman"/>
      <w:b/>
      <w:kern w:val="44"/>
      <w:sz w:val="32"/>
      <w:szCs w:val="44"/>
    </w:rPr>
  </w:style>
  <w:style w:type="paragraph" w:styleId="4">
    <w:name w:val="heading 2"/>
    <w:basedOn w:val="1"/>
    <w:next w:val="1"/>
    <w:link w:val="34"/>
    <w:qFormat/>
    <w:uiPriority w:val="0"/>
    <w:pPr>
      <w:keepNext/>
      <w:keepLines/>
      <w:spacing w:before="140" w:after="140"/>
      <w:ind w:firstLine="200" w:firstLineChars="200"/>
      <w:outlineLvl w:val="1"/>
    </w:pPr>
    <w:rPr>
      <w:rFonts w:ascii="宋体" w:hAnsi="宋体" w:cs="宋体"/>
      <w:b/>
      <w:bCs/>
      <w:sz w:val="24"/>
    </w:rPr>
  </w:style>
  <w:style w:type="paragraph" w:styleId="2">
    <w:name w:val="heading 3"/>
    <w:basedOn w:val="1"/>
    <w:next w:val="1"/>
    <w:unhideWhenUsed/>
    <w:qFormat/>
    <w:uiPriority w:val="0"/>
    <w:pPr>
      <w:spacing w:before="100" w:beforeAutospacing="1" w:after="100" w:afterAutospacing="1"/>
      <w:outlineLvl w:val="2"/>
    </w:pPr>
    <w:rPr>
      <w:rFonts w:hint="eastAsia" w:ascii="宋体" w:hAnsi="宋体" w:eastAsia="宋体" w:cs="Times New Roman"/>
      <w:b/>
      <w:bCs/>
      <w:sz w:val="27"/>
      <w:szCs w:val="27"/>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tabs>
        <w:tab w:val="left" w:pos="630"/>
        <w:tab w:val="left" w:pos="1155"/>
      </w:tabs>
      <w:spacing w:line="360" w:lineRule="auto"/>
      <w:ind w:firstLine="420" w:firstLineChars="200"/>
    </w:pPr>
    <w:rPr>
      <w:rFonts w:eastAsia="仿宋_GB2312"/>
      <w:sz w:val="28"/>
    </w:rPr>
  </w:style>
  <w:style w:type="paragraph" w:styleId="6">
    <w:name w:val="annotation text"/>
    <w:basedOn w:val="1"/>
    <w:link w:val="35"/>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1"/>
    <w:rPr>
      <w:rFonts w:ascii="宋体" w:hAnsi="宋体" w:eastAsia="宋体" w:cs="宋体"/>
      <w:sz w:val="19"/>
      <w:szCs w:val="19"/>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Plain Text"/>
    <w:basedOn w:val="1"/>
    <w:qFormat/>
    <w:uiPriority w:val="0"/>
    <w:rPr>
      <w:rFonts w:ascii="宋体" w:hAnsi="Courier New" w:eastAsia="宋体" w:cs="Courier New"/>
      <w:kern w:val="2"/>
    </w:rPr>
  </w:style>
  <w:style w:type="paragraph" w:styleId="11">
    <w:name w:val="footer"/>
    <w:basedOn w:val="1"/>
    <w:qFormat/>
    <w:uiPriority w:val="0"/>
    <w:pPr>
      <w:tabs>
        <w:tab w:val="center" w:pos="4153"/>
        <w:tab w:val="right" w:pos="8306"/>
      </w:tabs>
    </w:pPr>
    <w:rPr>
      <w:sz w:val="18"/>
    </w:rPr>
  </w:style>
  <w:style w:type="paragraph" w:styleId="12">
    <w:name w:val="header"/>
    <w:basedOn w:val="1"/>
    <w:link w:val="37"/>
    <w:qFormat/>
    <w:uiPriority w:val="0"/>
    <w:pPr>
      <w:tabs>
        <w:tab w:val="center" w:pos="4153"/>
        <w:tab w:val="right" w:pos="8306"/>
      </w:tabs>
      <w:jc w:val="center"/>
    </w:pPr>
    <w:rPr>
      <w:sz w:val="18"/>
      <w:szCs w:val="18"/>
    </w:rPr>
  </w:style>
  <w:style w:type="paragraph" w:styleId="13">
    <w:name w:val="toc 2"/>
    <w:basedOn w:val="1"/>
    <w:next w:val="1"/>
    <w:qFormat/>
    <w:uiPriority w:val="0"/>
    <w:pPr>
      <w:widowControl w:val="0"/>
      <w:kinsoku/>
      <w:autoSpaceDE/>
      <w:autoSpaceDN/>
      <w:adjustRightInd/>
      <w:snapToGrid/>
      <w:ind w:left="420" w:leftChars="200"/>
      <w:jc w:val="both"/>
      <w:textAlignment w:val="auto"/>
    </w:pPr>
    <w:rPr>
      <w:rFonts w:ascii="Calibri" w:hAnsi="Calibri" w:eastAsia="宋体" w:cs="Calibri"/>
      <w:snapToGrid/>
      <w:color w:val="auto"/>
      <w:kern w:val="2"/>
    </w:rPr>
  </w:style>
  <w:style w:type="paragraph" w:styleId="14">
    <w:name w:val="Body Text 2"/>
    <w:basedOn w:val="1"/>
    <w:next w:val="1"/>
    <w:qFormat/>
    <w:uiPriority w:val="0"/>
    <w:pPr>
      <w:spacing w:line="300" w:lineRule="auto"/>
    </w:pPr>
    <w:rPr>
      <w:rFonts w:ascii="宋体" w:hAnsi="宋体"/>
      <w:color w:val="0000FF"/>
      <w:sz w:val="24"/>
      <w:szCs w:val="20"/>
    </w:rPr>
  </w:style>
  <w:style w:type="paragraph" w:styleId="15">
    <w:name w:val="Normal (Web)"/>
    <w:basedOn w:val="1"/>
    <w:unhideWhenUsed/>
    <w:qFormat/>
    <w:uiPriority w:val="99"/>
    <w:pPr>
      <w:spacing w:before="100" w:beforeAutospacing="1" w:after="100" w:afterAutospacing="1"/>
    </w:pPr>
    <w:rPr>
      <w:rFonts w:ascii="宋体" w:hAnsi="宋体" w:cs="宋体"/>
      <w:sz w:val="24"/>
    </w:rPr>
  </w:style>
  <w:style w:type="paragraph" w:styleId="16">
    <w:name w:val="annotation subject"/>
    <w:basedOn w:val="6"/>
    <w:next w:val="6"/>
    <w:link w:val="36"/>
    <w:qFormat/>
    <w:uiPriority w:val="0"/>
    <w:rPr>
      <w:b/>
      <w:bCs/>
    </w:rPr>
  </w:style>
  <w:style w:type="paragraph" w:styleId="17">
    <w:name w:val="Body Text First Indent"/>
    <w:basedOn w:val="8"/>
    <w:next w:val="18"/>
    <w:qFormat/>
    <w:uiPriority w:val="0"/>
    <w:pPr>
      <w:spacing w:after="120"/>
      <w:ind w:firstLine="420" w:firstLineChars="100"/>
    </w:pPr>
    <w:rPr>
      <w:sz w:val="21"/>
      <w:szCs w:val="24"/>
    </w:rPr>
  </w:style>
  <w:style w:type="paragraph" w:styleId="18">
    <w:name w:val="Body Text First Indent 2"/>
    <w:basedOn w:val="9"/>
    <w:qFormat/>
    <w:uiPriority w:val="0"/>
    <w:pPr>
      <w:ind w:firstLine="420" w:firstLineChars="200"/>
    </w:pPr>
    <w:rPr>
      <w:rFonts w:ascii="Calibri" w:hAnsi="Calibri" w:eastAsia="宋体" w:cs="Times New Roman"/>
      <w:bCs/>
    </w:rPr>
  </w:style>
  <w:style w:type="character" w:styleId="21">
    <w:name w:val="Strong"/>
    <w:basedOn w:val="20"/>
    <w:qFormat/>
    <w:uiPriority w:val="0"/>
    <w:rPr>
      <w:b/>
    </w:rPr>
  </w:style>
  <w:style w:type="character" w:styleId="22">
    <w:name w:val="annotation reference"/>
    <w:basedOn w:val="20"/>
    <w:qFormat/>
    <w:uiPriority w:val="0"/>
    <w:rPr>
      <w:sz w:val="21"/>
      <w:szCs w:val="21"/>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Paragraph"/>
    <w:basedOn w:val="1"/>
    <w:qFormat/>
    <w:uiPriority w:val="1"/>
    <w:rPr>
      <w:rFonts w:ascii="宋体" w:hAnsi="宋体" w:eastAsia="宋体" w:cs="宋体"/>
      <w:lang w:val="zh-CN" w:bidi="zh-CN"/>
    </w:rPr>
  </w:style>
  <w:style w:type="paragraph" w:styleId="25">
    <w:name w:val="List Paragraph"/>
    <w:basedOn w:val="1"/>
    <w:qFormat/>
    <w:uiPriority w:val="1"/>
    <w:pPr>
      <w:ind w:left="100" w:firstLine="424"/>
    </w:pPr>
    <w:rPr>
      <w:rFonts w:ascii="宋体" w:hAnsi="宋体" w:eastAsia="宋体" w:cs="宋体"/>
      <w:lang w:val="zh-CN" w:bidi="zh-CN"/>
    </w:rPr>
  </w:style>
  <w:style w:type="character" w:customStyle="1" w:styleId="26">
    <w:name w:val="font11"/>
    <w:basedOn w:val="20"/>
    <w:qFormat/>
    <w:uiPriority w:val="0"/>
    <w:rPr>
      <w:rFonts w:hint="eastAsia" w:ascii="宋体" w:hAnsi="宋体" w:eastAsia="宋体" w:cs="宋体"/>
      <w:b/>
      <w:bCs/>
      <w:color w:val="000000"/>
      <w:sz w:val="47"/>
      <w:szCs w:val="47"/>
      <w:u w:val="none"/>
    </w:rPr>
  </w:style>
  <w:style w:type="character" w:customStyle="1" w:styleId="27">
    <w:name w:val="font31"/>
    <w:basedOn w:val="20"/>
    <w:qFormat/>
    <w:uiPriority w:val="0"/>
    <w:rPr>
      <w:rFonts w:hint="eastAsia" w:ascii="宋体" w:hAnsi="宋体" w:eastAsia="宋体" w:cs="宋体"/>
      <w:b/>
      <w:bCs/>
      <w:color w:val="000000"/>
      <w:sz w:val="25"/>
      <w:szCs w:val="25"/>
      <w:u w:val="none"/>
    </w:rPr>
  </w:style>
  <w:style w:type="character" w:customStyle="1" w:styleId="28">
    <w:name w:val="font91"/>
    <w:basedOn w:val="20"/>
    <w:qFormat/>
    <w:uiPriority w:val="0"/>
    <w:rPr>
      <w:rFonts w:hint="eastAsia" w:ascii="宋体" w:hAnsi="宋体" w:eastAsia="宋体" w:cs="宋体"/>
      <w:color w:val="000000"/>
      <w:sz w:val="25"/>
      <w:szCs w:val="25"/>
      <w:u w:val="none"/>
    </w:rPr>
  </w:style>
  <w:style w:type="character" w:customStyle="1" w:styleId="29">
    <w:name w:val="font41"/>
    <w:basedOn w:val="20"/>
    <w:qFormat/>
    <w:uiPriority w:val="0"/>
    <w:rPr>
      <w:rFonts w:hint="eastAsia" w:ascii="宋体" w:hAnsi="宋体" w:eastAsia="宋体" w:cs="宋体"/>
      <w:b/>
      <w:bCs/>
      <w:color w:val="000000"/>
      <w:sz w:val="21"/>
      <w:szCs w:val="21"/>
      <w:u w:val="none"/>
    </w:rPr>
  </w:style>
  <w:style w:type="character" w:customStyle="1" w:styleId="30">
    <w:name w:val="font21"/>
    <w:basedOn w:val="20"/>
    <w:qFormat/>
    <w:uiPriority w:val="0"/>
    <w:rPr>
      <w:rFonts w:hint="eastAsia" w:ascii="宋体" w:hAnsi="宋体" w:eastAsia="宋体" w:cs="宋体"/>
      <w:color w:val="000000"/>
      <w:sz w:val="21"/>
      <w:szCs w:val="21"/>
      <w:u w:val="none"/>
    </w:rPr>
  </w:style>
  <w:style w:type="character" w:customStyle="1" w:styleId="31">
    <w:name w:val="font51"/>
    <w:basedOn w:val="20"/>
    <w:qFormat/>
    <w:uiPriority w:val="0"/>
    <w:rPr>
      <w:rFonts w:hint="eastAsia" w:ascii="宋体" w:hAnsi="宋体" w:eastAsia="宋体" w:cs="宋体"/>
      <w:b/>
      <w:bCs/>
      <w:color w:val="000000"/>
      <w:sz w:val="21"/>
      <w:szCs w:val="21"/>
      <w:u w:val="none"/>
    </w:rPr>
  </w:style>
  <w:style w:type="paragraph" w:customStyle="1" w:styleId="32">
    <w:name w:val="Revision"/>
    <w:hidden/>
    <w:unhideWhenUsed/>
    <w:qFormat/>
    <w:uiPriority w:val="99"/>
    <w:rPr>
      <w:rFonts w:ascii="Arial" w:hAnsi="Arial" w:eastAsia="Arial" w:cs="Arial"/>
      <w:snapToGrid w:val="0"/>
      <w:color w:val="000000"/>
      <w:sz w:val="21"/>
      <w:szCs w:val="21"/>
      <w:lang w:val="en-US" w:eastAsia="zh-CN" w:bidi="ar-SA"/>
    </w:rPr>
  </w:style>
  <w:style w:type="paragraph" w:customStyle="1" w:styleId="33">
    <w:name w:val="Table Text"/>
    <w:basedOn w:val="1"/>
    <w:semiHidden/>
    <w:qFormat/>
    <w:uiPriority w:val="0"/>
    <w:pPr>
      <w:widowControl w:val="0"/>
      <w:kinsoku/>
      <w:autoSpaceDE/>
      <w:autoSpaceDN/>
      <w:adjustRightInd/>
      <w:snapToGrid/>
      <w:jc w:val="both"/>
      <w:textAlignment w:val="auto"/>
    </w:pPr>
    <w:rPr>
      <w:rFonts w:ascii="微软雅黑" w:hAnsi="微软雅黑" w:eastAsia="微软雅黑" w:cs="微软雅黑"/>
      <w:snapToGrid/>
      <w:color w:val="auto"/>
      <w:kern w:val="2"/>
      <w:sz w:val="16"/>
      <w:szCs w:val="16"/>
      <w:lang w:eastAsia="en-US"/>
    </w:rPr>
  </w:style>
  <w:style w:type="character" w:customStyle="1" w:styleId="34">
    <w:name w:val="标题 2 字符"/>
    <w:link w:val="4"/>
    <w:qFormat/>
    <w:uiPriority w:val="0"/>
    <w:rPr>
      <w:rFonts w:ascii="宋体" w:hAnsi="宋体" w:eastAsia="Arial" w:cs="宋体"/>
      <w:b/>
      <w:bCs/>
      <w:snapToGrid w:val="0"/>
      <w:color w:val="000000"/>
      <w:sz w:val="24"/>
      <w:szCs w:val="21"/>
    </w:rPr>
  </w:style>
  <w:style w:type="character" w:customStyle="1" w:styleId="35">
    <w:name w:val="批注文字 字符"/>
    <w:basedOn w:val="20"/>
    <w:link w:val="6"/>
    <w:qFormat/>
    <w:uiPriority w:val="0"/>
    <w:rPr>
      <w:rFonts w:ascii="Arial" w:hAnsi="Arial" w:eastAsia="Arial" w:cs="Arial"/>
      <w:snapToGrid w:val="0"/>
      <w:color w:val="000000"/>
      <w:sz w:val="21"/>
      <w:szCs w:val="21"/>
    </w:rPr>
  </w:style>
  <w:style w:type="character" w:customStyle="1" w:styleId="36">
    <w:name w:val="批注主题 字符"/>
    <w:basedOn w:val="35"/>
    <w:link w:val="16"/>
    <w:qFormat/>
    <w:uiPriority w:val="0"/>
    <w:rPr>
      <w:rFonts w:ascii="Arial" w:hAnsi="Arial" w:eastAsia="Arial" w:cs="Arial"/>
      <w:b/>
      <w:bCs/>
      <w:snapToGrid w:val="0"/>
      <w:color w:val="000000"/>
      <w:sz w:val="21"/>
      <w:szCs w:val="21"/>
    </w:rPr>
  </w:style>
  <w:style w:type="character" w:customStyle="1" w:styleId="37">
    <w:name w:val="页眉 字符"/>
    <w:basedOn w:val="20"/>
    <w:link w:val="12"/>
    <w:qFormat/>
    <w:uiPriority w:val="0"/>
    <w:rPr>
      <w:rFonts w:ascii="Arial" w:hAnsi="Arial" w:eastAsia="Arial" w:cs="Arial"/>
      <w:snapToGrid w:val="0"/>
      <w:color w:val="000000"/>
      <w:sz w:val="18"/>
      <w:szCs w:val="18"/>
    </w:rPr>
  </w:style>
  <w:style w:type="paragraph" w:customStyle="1" w:styleId="38">
    <w:name w:val="Address"/>
    <w:basedOn w:val="1"/>
    <w:next w:val="1"/>
    <w:qFormat/>
    <w:uiPriority w:val="0"/>
    <w:pPr>
      <w:autoSpaceDE w:val="0"/>
      <w:autoSpaceDN w:val="0"/>
      <w:adjustRightInd w:val="0"/>
      <w:jc w:val="left"/>
    </w:pPr>
    <w:rPr>
      <w:rFonts w:ascii="Calibri" w:hAnsi="Calibri"/>
      <w:i/>
      <w:kern w:val="0"/>
      <w:sz w:val="24"/>
    </w:rPr>
  </w:style>
  <w:style w:type="character" w:customStyle="1" w:styleId="39">
    <w:name w:val="Variabl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10167</Words>
  <Characters>10472</Characters>
  <Lines>2190</Lines>
  <Paragraphs>1516</Paragraphs>
  <TotalTime>1017</TotalTime>
  <ScaleCrop>false</ScaleCrop>
  <LinksUpToDate>false</LinksUpToDate>
  <CharactersWithSpaces>10754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2025-05-19T12:41:00Z</dcterms:created>
  <dc:creator>Liqueur chocolate</dc:creator>
  <cp:lastModifiedBy>PUNK沙皇</cp:lastModifiedBy>
  <cp:lastPrinted>2025-07-07T07:40:24Z</cp:lastPrinted>
  <dcterms:modified xsi:type="dcterms:W3CDTF">2025-07-08T00:27:14Z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74B7FFD7D912444BBF124F2665540551_13</vt:lpwstr>
  </property>
  <property fmtid="{D5CDD505-2E9C-101B-9397-08002B2CF9AE}" pid="4" name="KSOTemplateDocerSaveRecord">
    <vt:lpwstr>eyJoZGlkIjoiODU1ODdhZWE5NDI2MmY3MDdmODk3YTYwNTJmYjgxOTciLCJ1c2VySWQiOiIzMjkxOTUwNTEifQ==</vt:lpwstr>
  </property>
</Properties>
</file>