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b/>
          <w:color w:val="000000"/>
          <w:sz w:val="44"/>
          <w:szCs w:val="44"/>
        </w:rPr>
      </w:pPr>
      <w:bookmarkStart w:id="0" w:name="_GoBack"/>
      <w:bookmarkEnd w:id="0"/>
      <w:r>
        <w:rPr>
          <w:rFonts w:hint="eastAsia" w:ascii="黑体" w:eastAsia="黑体"/>
          <w:b/>
          <w:color w:val="000000"/>
          <w:sz w:val="44"/>
          <w:szCs w:val="44"/>
          <w:lang w:eastAsia="zh-CN"/>
        </w:rPr>
        <w:t>物业</w:t>
      </w:r>
      <w:r>
        <w:rPr>
          <w:rFonts w:hint="eastAsia" w:ascii="黑体" w:eastAsia="黑体"/>
          <w:b/>
          <w:color w:val="000000"/>
          <w:sz w:val="44"/>
          <w:szCs w:val="44"/>
        </w:rPr>
        <w:t>租赁合同</w:t>
      </w:r>
    </w:p>
    <w:p>
      <w:pPr>
        <w:spacing w:line="360" w:lineRule="auto"/>
        <w:rPr>
          <w:rFonts w:hint="eastAsia"/>
          <w:b/>
          <w:color w:val="00000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hAnsi="宋体"/>
          <w:color w:val="000000"/>
          <w:u w:val="single"/>
        </w:rPr>
      </w:pPr>
      <w:r>
        <w:rPr>
          <w:rFonts w:hint="eastAsia" w:hAnsi="宋体"/>
          <w:color w:val="000000"/>
        </w:rPr>
        <w:t>甲方（出租方）：</w:t>
      </w:r>
      <w:r>
        <w:rPr>
          <w:rFonts w:hint="eastAsia" w:hAnsi="宋体"/>
          <w:color w:val="000000"/>
          <w:u w:val="single"/>
        </w:rPr>
        <w:t xml:space="preserve">   </w:t>
      </w:r>
      <w:r>
        <w:rPr>
          <w:rFonts w:hint="eastAsia" w:hAnsi="宋体"/>
          <w:color w:val="000000"/>
          <w:u w:val="single"/>
          <w:lang w:eastAsia="zh-CN"/>
        </w:rPr>
        <w:t>惠州市惠阳区物资总公司</w:t>
      </w:r>
      <w:r>
        <w:rPr>
          <w:rFonts w:hint="eastAsia" w:hAnsi="宋体"/>
          <w:color w:val="00000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hAnsi="宋体"/>
          <w:color w:val="000000"/>
          <w:u w:val="single"/>
        </w:rPr>
      </w:pPr>
      <w:r>
        <w:rPr>
          <w:rFonts w:hint="eastAsia" w:hAnsi="宋体"/>
          <w:color w:val="000000"/>
        </w:rPr>
        <w:t>乙方（承租方）：</w:t>
      </w:r>
      <w:r>
        <w:rPr>
          <w:rFonts w:hint="eastAsia" w:hAnsi="宋体"/>
          <w:color w:val="000000"/>
          <w:u w:val="single"/>
        </w:rPr>
        <w:t xml:space="preserve">        </w:t>
      </w:r>
      <w:r>
        <w:rPr>
          <w:rFonts w:hint="eastAsia" w:hAnsi="宋体"/>
          <w:color w:val="000000"/>
          <w:u w:val="single"/>
          <w:lang w:val="en-US" w:eastAsia="zh-CN"/>
        </w:rPr>
        <w:t xml:space="preserve">          </w:t>
      </w:r>
      <w:r>
        <w:rPr>
          <w:rFonts w:hint="eastAsia" w:hAnsi="宋体"/>
          <w:color w:val="00000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hAnsi="宋体"/>
          <w:color w:val="000000"/>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根据《中华人民共和国合同法》及相关法律法规之规定，甲乙双方就</w:t>
      </w:r>
      <w:r>
        <w:rPr>
          <w:rFonts w:hint="eastAsia"/>
          <w:lang w:eastAsia="zh-CN"/>
        </w:rPr>
        <w:t>物业</w:t>
      </w:r>
      <w:r>
        <w:rPr>
          <w:rFonts w:hint="eastAsia"/>
        </w:rPr>
        <w:t>租赁事宜，协商一致，缔结本合同，以资信守。</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租赁物业及用途</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 xml:space="preserve">甲方将 </w:t>
      </w:r>
      <w:r>
        <w:rPr>
          <w:rFonts w:hint="eastAsia"/>
          <w:u w:val="single"/>
        </w:rPr>
        <w:t xml:space="preserve"> </w:t>
      </w:r>
      <w:r>
        <w:rPr>
          <w:rFonts w:hint="eastAsia"/>
          <w:u w:val="single"/>
          <w:lang w:val="en-US" w:eastAsia="zh-CN"/>
        </w:rPr>
        <w:t>惠州市惠阳区淡水镇开城大道安乐公寓6栋501房</w:t>
      </w:r>
      <w:r>
        <w:rPr>
          <w:rFonts w:hint="eastAsia"/>
          <w:u w:val="single"/>
        </w:rPr>
        <w:t xml:space="preserve"> </w:t>
      </w:r>
      <w:r>
        <w:rPr>
          <w:rFonts w:hint="eastAsia"/>
          <w:lang w:val="en-US" w:eastAsia="zh-CN"/>
        </w:rPr>
        <w:t>物业</w:t>
      </w:r>
      <w:r>
        <w:rPr>
          <w:rFonts w:hint="eastAsia"/>
        </w:rPr>
        <w:t>（以下简称“该</w:t>
      </w:r>
      <w:r>
        <w:rPr>
          <w:rFonts w:hint="eastAsia"/>
          <w:lang w:val="en-US" w:eastAsia="zh-CN"/>
        </w:rPr>
        <w:t>物业</w:t>
      </w:r>
      <w:r>
        <w:rPr>
          <w:rFonts w:hint="eastAsia"/>
        </w:rPr>
        <w:t>”）出租给乙方。</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该</w:t>
      </w:r>
      <w:r>
        <w:rPr>
          <w:rFonts w:hint="eastAsia"/>
          <w:lang w:val="en-US" w:eastAsia="zh-CN"/>
        </w:rPr>
        <w:t>物业</w:t>
      </w:r>
      <w:r>
        <w:rPr>
          <w:rFonts w:hint="eastAsia"/>
        </w:rPr>
        <w:t>建筑面积合计为</w:t>
      </w:r>
      <w:r>
        <w:rPr>
          <w:rFonts w:hint="eastAsia"/>
          <w:u w:val="single"/>
        </w:rPr>
        <w:t xml:space="preserve"> </w:t>
      </w:r>
      <w:r>
        <w:rPr>
          <w:rFonts w:hint="eastAsia"/>
          <w:u w:val="single"/>
          <w:lang w:val="en-US" w:eastAsia="zh-CN"/>
        </w:rPr>
        <w:t>110.05</w:t>
      </w:r>
      <w:r>
        <w:rPr>
          <w:rFonts w:hint="eastAsia"/>
          <w:u w:val="single"/>
        </w:rPr>
        <w:t xml:space="preserve"> </w:t>
      </w:r>
      <w:r>
        <w:rPr>
          <w:rFonts w:hint="eastAsia"/>
        </w:rPr>
        <w:t>㎡</w:t>
      </w:r>
      <w:r>
        <w:rPr>
          <w:rFonts w:hint="eastAsia"/>
          <w:lang w:eastAsia="zh-CN"/>
        </w:rPr>
        <w:t>。</w:t>
      </w:r>
      <w:r>
        <w:rPr>
          <w:rFonts w:hint="eastAsia"/>
        </w:rPr>
        <w:t xml:space="preserve"> </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乙方确认甲方已告知该</w:t>
      </w:r>
      <w:r>
        <w:rPr>
          <w:rFonts w:hint="eastAsia"/>
          <w:lang w:val="en-US" w:eastAsia="zh-CN"/>
        </w:rPr>
        <w:t>物业</w:t>
      </w:r>
      <w:r>
        <w:rPr>
          <w:rFonts w:hint="eastAsia"/>
        </w:rPr>
        <w:t>情况，且在本合同签署时已对该</w:t>
      </w:r>
      <w:r>
        <w:rPr>
          <w:rFonts w:hint="eastAsia"/>
          <w:lang w:val="en-US" w:eastAsia="zh-CN"/>
        </w:rPr>
        <w:t>物业</w:t>
      </w:r>
      <w:r>
        <w:rPr>
          <w:rFonts w:hint="eastAsia"/>
        </w:rPr>
        <w:t>状况进行详细了解，同意按本合同约定条件按现状承租</w:t>
      </w:r>
      <w:r>
        <w:rPr>
          <w:rFonts w:hint="eastAsia"/>
          <w:lang w:val="en-US" w:eastAsia="zh-CN"/>
        </w:rPr>
        <w:t>该物业</w:t>
      </w:r>
      <w:r>
        <w:rPr>
          <w:rFonts w:hint="eastAsia"/>
        </w:rPr>
        <w:t>。</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hAnsi="宋体"/>
          <w:color w:val="000000"/>
        </w:rPr>
        <w:t>该</w:t>
      </w:r>
      <w:r>
        <w:rPr>
          <w:rFonts w:hint="eastAsia"/>
          <w:lang w:val="en-US" w:eastAsia="zh-CN"/>
        </w:rPr>
        <w:t>物业</w:t>
      </w:r>
      <w:r>
        <w:rPr>
          <w:rFonts w:hint="eastAsia" w:hAnsi="宋体"/>
          <w:color w:val="000000"/>
        </w:rPr>
        <w:t>为商业用途，乙方承租用于经营</w:t>
      </w:r>
      <w:r>
        <w:rPr>
          <w:rFonts w:hint="eastAsia" w:hAnsi="宋体"/>
          <w:color w:val="000000"/>
          <w:u w:val="single"/>
        </w:rPr>
        <w:t xml:space="preserve">    </w:t>
      </w:r>
      <w:r>
        <w:rPr>
          <w:rFonts w:hint="eastAsia" w:hAnsi="宋体"/>
          <w:color w:val="000000"/>
          <w:u w:val="single"/>
          <w:lang w:val="en-US" w:eastAsia="zh-CN"/>
        </w:rPr>
        <w:t xml:space="preserve">   </w:t>
      </w:r>
      <w:r>
        <w:rPr>
          <w:rFonts w:hint="eastAsia" w:hAnsi="宋体"/>
          <w:color w:val="000000"/>
          <w:u w:val="single"/>
        </w:rPr>
        <w:t xml:space="preserve">      </w:t>
      </w:r>
      <w:r>
        <w:rPr>
          <w:rFonts w:hint="eastAsia" w:hAnsi="宋体"/>
          <w:color w:val="000000"/>
        </w:rPr>
        <w:t>，未经甲方书面同意不得变更经营项目。</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租赁期限</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该</w:t>
      </w:r>
      <w:r>
        <w:rPr>
          <w:rFonts w:hint="eastAsia"/>
          <w:lang w:eastAsia="zh-CN"/>
        </w:rPr>
        <w:t>物业</w:t>
      </w:r>
      <w:r>
        <w:rPr>
          <w:rFonts w:hint="eastAsia"/>
        </w:rPr>
        <w:t>租赁期限共</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年，自</w:t>
      </w:r>
      <w:r>
        <w:rPr>
          <w:rFonts w:hint="eastAsia"/>
          <w:u w:val="single"/>
        </w:rPr>
        <w:t xml:space="preserve"> </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u w:val="single"/>
        </w:rPr>
        <w:t xml:space="preserve"> </w:t>
      </w:r>
      <w:r>
        <w:rPr>
          <w:rFonts w:hint="eastAsia"/>
        </w:rPr>
        <w:t>日起至</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rPr>
        <w:t>月</w:t>
      </w:r>
      <w:r>
        <w:rPr>
          <w:rFonts w:hint="eastAsia"/>
          <w:u w:val="single"/>
        </w:rPr>
        <w:t xml:space="preserve">  </w:t>
      </w:r>
      <w:r>
        <w:rPr>
          <w:rFonts w:hint="eastAsia"/>
        </w:rPr>
        <w:t>日止。</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rPr>
      </w:pPr>
      <w:r>
        <w:rPr>
          <w:rFonts w:hint="eastAsia"/>
          <w:b/>
        </w:rPr>
        <w:t>交付</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hAnsi="宋体"/>
        </w:rPr>
      </w:pPr>
      <w:r>
        <w:rPr>
          <w:rFonts w:hint="eastAsia"/>
        </w:rPr>
        <w:t>双方签署本合同并且乙方按约定支付保证金后，甲方于</w:t>
      </w:r>
      <w:r>
        <w:rPr>
          <w:rFonts w:hint="eastAsia"/>
          <w:u w:val="single"/>
          <w:lang w:val="en-US" w:eastAsia="zh-CN"/>
        </w:rPr>
        <w:t xml:space="preserve">   </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rPr>
        <w:t>日前将该</w:t>
      </w:r>
      <w:r>
        <w:rPr>
          <w:rFonts w:hint="eastAsia"/>
          <w:lang w:val="en-US" w:eastAsia="zh-CN"/>
        </w:rPr>
        <w:t>物业</w:t>
      </w:r>
      <w:r>
        <w:rPr>
          <w:rFonts w:hint="eastAsia"/>
        </w:rPr>
        <w:t>交付乙方使用，乙方未履行相关义务，甲方有权顺延交付时间，但租赁期限不顺延</w:t>
      </w:r>
      <w:r>
        <w:rPr>
          <w:rFonts w:hint="eastAsia" w:hAnsi="宋体"/>
        </w:rPr>
        <w:t>。</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乙方应于约定的该</w:t>
      </w:r>
      <w:r>
        <w:rPr>
          <w:rFonts w:hint="eastAsia"/>
          <w:lang w:val="en-US" w:eastAsia="zh-CN"/>
        </w:rPr>
        <w:t>物业</w:t>
      </w:r>
      <w:r>
        <w:rPr>
          <w:rFonts w:hint="eastAsia"/>
        </w:rPr>
        <w:t>交付日到甲方处办理交接手续，逾期前来办理的视为该</w:t>
      </w:r>
      <w:r>
        <w:rPr>
          <w:rFonts w:hint="eastAsia"/>
          <w:lang w:val="en-US" w:eastAsia="zh-CN"/>
        </w:rPr>
        <w:t>物业</w:t>
      </w:r>
      <w:r>
        <w:rPr>
          <w:rFonts w:hint="eastAsia"/>
        </w:rPr>
        <w:t>已交付乙方。</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租金及相关费用</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甲方给予乙方</w:t>
      </w:r>
      <w:r>
        <w:rPr>
          <w:rFonts w:hint="eastAsia"/>
          <w:lang w:eastAsia="zh-CN"/>
        </w:rPr>
        <w:t>新租户</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个月的装修免租期，免租期自交付日（包括实际交付与视为交付）起算，免租装修期内乙方无需向甲方支付租金，但应交纳使用该物业而产生的水、电等费用</w:t>
      </w:r>
      <w:r>
        <w:rPr>
          <w:rFonts w:hint="eastAsia"/>
          <w:lang w:eastAsia="zh-CN"/>
        </w:rPr>
        <w:t>。</w:t>
      </w:r>
    </w:p>
    <w:p>
      <w:pPr>
        <w:keepNext w:val="0"/>
        <w:keepLines w:val="0"/>
        <w:pageBreakBefore w:val="0"/>
        <w:widowControl w:val="0"/>
        <w:numPr>
          <w:ilvl w:val="0"/>
          <w:numId w:val="0"/>
        </w:numPr>
        <w:tabs>
          <w:tab w:val="left" w:pos="945"/>
        </w:tabs>
        <w:kinsoku/>
        <w:wordWrap/>
        <w:overflowPunct/>
        <w:topLinePunct w:val="0"/>
        <w:autoSpaceDE/>
        <w:autoSpaceDN/>
        <w:bidi w:val="0"/>
        <w:adjustRightInd w:val="0"/>
        <w:snapToGrid w:val="0"/>
        <w:spacing w:line="360" w:lineRule="auto"/>
        <w:ind w:leftChars="200"/>
        <w:textAlignment w:val="auto"/>
        <w:rPr>
          <w:rFonts w:hint="eastAsia"/>
        </w:rPr>
      </w:pPr>
      <w:r>
        <w:rPr>
          <w:rFonts w:hint="eastAsia"/>
          <w:lang w:val="en-US" w:eastAsia="zh-CN"/>
        </w:rPr>
        <w:t>4.2</w:t>
      </w:r>
      <w:r>
        <w:rPr>
          <w:rFonts w:hint="eastAsia"/>
        </w:rPr>
        <w:t xml:space="preserve">每月租金合计为人民币（大写）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元整 （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w:t>
      </w:r>
    </w:p>
    <w:p>
      <w:pPr>
        <w:keepNext w:val="0"/>
        <w:keepLines w:val="0"/>
        <w:pageBreakBefore w:val="0"/>
        <w:widowControl w:val="0"/>
        <w:numPr>
          <w:ilvl w:val="0"/>
          <w:numId w:val="0"/>
        </w:numPr>
        <w:tabs>
          <w:tab w:val="left" w:pos="945"/>
        </w:tabs>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lang w:val="en-US" w:eastAsia="zh-CN"/>
        </w:rPr>
        <w:t>4.3</w:t>
      </w:r>
      <w:r>
        <w:rPr>
          <w:rFonts w:hint="eastAsia"/>
        </w:rPr>
        <w:t>租金按月份（指公历月）计算，乙方须于每月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日前以现金或银行转帐方式将当月份租金支付至甲方指定的如下帐户：</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hAnsi="宋体"/>
          <w:color w:val="000000"/>
        </w:rPr>
      </w:pPr>
      <w:r>
        <w:rPr>
          <w:rFonts w:hint="eastAsia" w:hAnsi="宋体"/>
          <w:color w:val="000000"/>
        </w:rPr>
        <w:t xml:space="preserve">甲方开户银行：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hAnsi="宋体"/>
          <w:color w:val="000000"/>
        </w:rPr>
      </w:pPr>
      <w:r>
        <w:rPr>
          <w:rFonts w:hint="eastAsia" w:hAnsi="宋体"/>
          <w:color w:val="000000"/>
        </w:rPr>
        <w:t xml:space="preserve">户        名：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hAnsi="宋体"/>
          <w:color w:val="000000"/>
        </w:rPr>
      </w:pPr>
      <w:r>
        <w:rPr>
          <w:rFonts w:hint="eastAsia" w:hAnsi="宋体"/>
          <w:color w:val="000000"/>
        </w:rPr>
        <w:t xml:space="preserve">帐        号： </w:t>
      </w:r>
    </w:p>
    <w:p>
      <w:pPr>
        <w:keepNext w:val="0"/>
        <w:keepLines w:val="0"/>
        <w:pageBreakBefore w:val="0"/>
        <w:widowControl w:val="0"/>
        <w:numPr>
          <w:ilvl w:val="0"/>
          <w:numId w:val="0"/>
        </w:numPr>
        <w:tabs>
          <w:tab w:val="left" w:pos="945"/>
        </w:tabs>
        <w:kinsoku/>
        <w:wordWrap/>
        <w:overflowPunct/>
        <w:topLinePunct w:val="0"/>
        <w:autoSpaceDE/>
        <w:autoSpaceDN/>
        <w:bidi w:val="0"/>
        <w:adjustRightInd w:val="0"/>
        <w:snapToGrid w:val="0"/>
        <w:spacing w:line="360" w:lineRule="auto"/>
        <w:ind w:leftChars="200"/>
        <w:textAlignment w:val="auto"/>
        <w:rPr>
          <w:rFonts w:hint="eastAsia"/>
        </w:rPr>
      </w:pPr>
      <w:r>
        <w:rPr>
          <w:rFonts w:hint="eastAsia"/>
          <w:lang w:val="en-US" w:eastAsia="zh-CN"/>
        </w:rPr>
        <w:t>4.4</w:t>
      </w:r>
      <w:r>
        <w:rPr>
          <w:rFonts w:hint="eastAsia"/>
        </w:rPr>
        <w:t>甲方收款帐号若有变更，甲方将以书面方式通知乙方，并由甲方授权代表签字并加盖甲方公章。</w:t>
      </w:r>
    </w:p>
    <w:p>
      <w:pPr>
        <w:keepNext w:val="0"/>
        <w:keepLines w:val="0"/>
        <w:pageBreakBefore w:val="0"/>
        <w:widowControl w:val="0"/>
        <w:numPr>
          <w:ilvl w:val="0"/>
          <w:numId w:val="0"/>
        </w:numPr>
        <w:tabs>
          <w:tab w:val="left" w:pos="945"/>
        </w:tabs>
        <w:kinsoku/>
        <w:wordWrap/>
        <w:overflowPunct/>
        <w:topLinePunct w:val="0"/>
        <w:autoSpaceDE/>
        <w:autoSpaceDN/>
        <w:bidi w:val="0"/>
        <w:adjustRightInd w:val="0"/>
        <w:snapToGrid w:val="0"/>
        <w:spacing w:line="360" w:lineRule="auto"/>
        <w:ind w:leftChars="200"/>
        <w:textAlignment w:val="auto"/>
        <w:rPr>
          <w:rFonts w:hint="eastAsia"/>
        </w:rPr>
      </w:pPr>
      <w:r>
        <w:rPr>
          <w:rFonts w:hint="eastAsia"/>
          <w:lang w:val="en-US" w:eastAsia="zh-CN"/>
        </w:rPr>
        <w:t>4.5</w:t>
      </w:r>
      <w:r>
        <w:rPr>
          <w:rFonts w:hint="eastAsia"/>
        </w:rPr>
        <w:t>乙方使用该</w:t>
      </w:r>
      <w:r>
        <w:rPr>
          <w:rFonts w:hint="eastAsia"/>
          <w:lang w:val="en-US" w:eastAsia="zh-CN"/>
        </w:rPr>
        <w:t>物业</w:t>
      </w:r>
      <w:r>
        <w:rPr>
          <w:rFonts w:hint="eastAsia"/>
        </w:rPr>
        <w:t>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租赁保证金</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保证金，双方签订本合同当日，乙方须以转账或现金的形式支付</w:t>
      </w:r>
      <w:r>
        <w:rPr>
          <w:rFonts w:hint="eastAsia"/>
          <w:lang w:val="en-US" w:eastAsia="zh-CN"/>
        </w:rPr>
        <w:t>三</w:t>
      </w:r>
      <w:r>
        <w:rPr>
          <w:rFonts w:hint="eastAsia"/>
        </w:rPr>
        <w:t>个月租金总额合计人民币（大写）：</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元整（￥: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）给甲方作为租赁保证金。</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在合同终止时，若乙方未发生违约责任且向甲方交清合同约定各项费用及按合同约定归还该</w:t>
      </w:r>
      <w:r>
        <w:rPr>
          <w:rFonts w:hint="eastAsia"/>
          <w:lang w:val="en-US" w:eastAsia="zh-CN"/>
        </w:rPr>
        <w:t>物业</w:t>
      </w:r>
      <w:r>
        <w:rPr>
          <w:rFonts w:hint="eastAsia"/>
        </w:rPr>
        <w:t>后，保证金在三十日内无息返还乙方。在乙方违约的情况下，甲方有权没收保证金。</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物业管理</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该</w:t>
      </w:r>
      <w:r>
        <w:rPr>
          <w:rFonts w:hint="eastAsia"/>
          <w:lang w:eastAsia="zh-CN"/>
        </w:rPr>
        <w:t>物业</w:t>
      </w:r>
      <w:r>
        <w:rPr>
          <w:rFonts w:hint="eastAsia"/>
        </w:rPr>
        <w:t>原有设施设备（含与其他物业共用设施设备）的日常管护由乙方负责，乙方应进行日常检查，发现问题及时通知甲方，然后划分责任进行维修维护与保养。</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乙方装修及自行安装的设施设备的管护与维修责任由乙方自行承担。</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该</w:t>
      </w:r>
      <w:r>
        <w:rPr>
          <w:rFonts w:hint="eastAsia"/>
          <w:lang w:val="en-US" w:eastAsia="zh-CN"/>
        </w:rPr>
        <w:t>物业</w:t>
      </w:r>
      <w:r>
        <w:rPr>
          <w:rFonts w:hint="eastAsia"/>
        </w:rPr>
        <w:t>的安全防火责任由乙方负责。</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装修和改建</w:t>
      </w:r>
    </w:p>
    <w:p>
      <w:pPr>
        <w:keepNext w:val="0"/>
        <w:keepLines w:val="0"/>
        <w:pageBreakBefore w:val="0"/>
        <w:widowControl w:val="0"/>
        <w:numPr>
          <w:ilvl w:val="1"/>
          <w:numId w:val="1"/>
        </w:numPr>
        <w:tabs>
          <w:tab w:val="left" w:pos="945"/>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乙方可根据实际需要对该</w:t>
      </w:r>
      <w:r>
        <w:rPr>
          <w:rFonts w:hint="eastAsia"/>
          <w:lang w:val="en-US" w:eastAsia="zh-CN"/>
        </w:rPr>
        <w:t>物业</w:t>
      </w:r>
      <w:r>
        <w:rPr>
          <w:rFonts w:hint="eastAsia"/>
        </w:rPr>
        <w:t>进行装潢装饰、修葺改造、及安装必要设施设备等（以下统称装修），相关费用由乙方承担。</w:t>
      </w:r>
    </w:p>
    <w:p>
      <w:pPr>
        <w:keepNext w:val="0"/>
        <w:keepLines w:val="0"/>
        <w:pageBreakBefore w:val="0"/>
        <w:widowControl w:val="0"/>
        <w:numPr>
          <w:ilvl w:val="1"/>
          <w:numId w:val="1"/>
        </w:numPr>
        <w:tabs>
          <w:tab w:val="left" w:pos="945"/>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乙方装修，需向甲方提交装修方案，并经甲方同意，同时取得政府有关部门许可（如有法律要求）后方可进行，费用由乙方承担。</w:t>
      </w:r>
    </w:p>
    <w:p>
      <w:pPr>
        <w:keepNext w:val="0"/>
        <w:keepLines w:val="0"/>
        <w:pageBreakBefore w:val="0"/>
        <w:widowControl w:val="0"/>
        <w:numPr>
          <w:ilvl w:val="1"/>
          <w:numId w:val="1"/>
        </w:numPr>
        <w:tabs>
          <w:tab w:val="left" w:pos="945"/>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乙方的装修作业不得影响该</w:t>
      </w:r>
      <w:r>
        <w:rPr>
          <w:rFonts w:hint="eastAsia"/>
          <w:lang w:val="en-US" w:eastAsia="zh-CN"/>
        </w:rPr>
        <w:t>物业</w:t>
      </w:r>
      <w:r>
        <w:rPr>
          <w:rFonts w:hint="eastAsia"/>
        </w:rPr>
        <w:t>整体建筑的框架结构，不得影响其安全性。否则由乙方负责赔偿所引致的一切损失，并由其承担相关的法律责任。</w:t>
      </w:r>
    </w:p>
    <w:p>
      <w:pPr>
        <w:keepNext w:val="0"/>
        <w:keepLines w:val="0"/>
        <w:pageBreakBefore w:val="0"/>
        <w:widowControl w:val="0"/>
        <w:numPr>
          <w:ilvl w:val="1"/>
          <w:numId w:val="1"/>
        </w:numPr>
        <w:tabs>
          <w:tab w:val="left" w:pos="945"/>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装修作业应尽量封闭作业，装修过程中不得产生较大的噪声，粉尘、刺激性气味，不得在该</w:t>
      </w:r>
      <w:r>
        <w:rPr>
          <w:rFonts w:hint="eastAsia"/>
          <w:lang w:val="en-US" w:eastAsia="zh-CN"/>
        </w:rPr>
        <w:t>物业</w:t>
      </w:r>
      <w:r>
        <w:rPr>
          <w:rFonts w:hint="eastAsia"/>
        </w:rPr>
        <w:t>外的共用部分堆放装修材料及作业产生的废弃物等。装修期间不能干扰或影响邻近物业的使用。</w:t>
      </w:r>
    </w:p>
    <w:p>
      <w:pPr>
        <w:keepNext w:val="0"/>
        <w:keepLines w:val="0"/>
        <w:pageBreakBefore w:val="0"/>
        <w:widowControl w:val="0"/>
        <w:numPr>
          <w:ilvl w:val="1"/>
          <w:numId w:val="1"/>
        </w:numPr>
        <w:tabs>
          <w:tab w:val="left" w:pos="945"/>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乙方装修、改造及设施设备的安装使用等，不得影响其他相关联物业的使用，或功能，否则回复原状，并承担相应责任。</w:t>
      </w:r>
      <w:r>
        <w:rPr>
          <w:rFonts w:hint="eastAsia"/>
          <w:lang w:val="en-US" w:eastAsia="zh-CN"/>
        </w:rPr>
        <w:t xml:space="preserve"> </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转租、分租或出借</w:t>
      </w:r>
    </w:p>
    <w:p>
      <w:pPr>
        <w:keepNext w:val="0"/>
        <w:keepLines w:val="0"/>
        <w:pageBreakBefore w:val="0"/>
        <w:widowControl w:val="0"/>
        <w:numPr>
          <w:ilvl w:val="1"/>
          <w:numId w:val="1"/>
        </w:numPr>
        <w:tabs>
          <w:tab w:val="left" w:pos="945"/>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未经甲方书面同意，乙方不得转租</w:t>
      </w:r>
      <w:r>
        <w:rPr>
          <w:rFonts w:hint="eastAsia"/>
          <w:lang w:eastAsia="zh-CN"/>
        </w:rPr>
        <w:t>或</w:t>
      </w:r>
      <w:r>
        <w:rPr>
          <w:rFonts w:hint="eastAsia"/>
        </w:rPr>
        <w:t>分租该</w:t>
      </w:r>
      <w:r>
        <w:rPr>
          <w:rFonts w:hint="eastAsia"/>
          <w:lang w:eastAsia="zh-CN"/>
        </w:rPr>
        <w:t>物业</w:t>
      </w:r>
      <w:r>
        <w:rPr>
          <w:rFonts w:hint="eastAsia"/>
        </w:rPr>
        <w:t>的全部或部分。</w:t>
      </w:r>
    </w:p>
    <w:p>
      <w:pPr>
        <w:keepNext w:val="0"/>
        <w:keepLines w:val="0"/>
        <w:pageBreakBefore w:val="0"/>
        <w:widowControl w:val="0"/>
        <w:numPr>
          <w:ilvl w:val="1"/>
          <w:numId w:val="1"/>
        </w:numPr>
        <w:tabs>
          <w:tab w:val="left" w:pos="945"/>
          <w:tab w:val="left" w:pos="1260"/>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经甲方书面同意的转租，不影响乙方履行本合同义务(包括但不限于交纳租金)，乙方对转租承租人行为负责。</w:t>
      </w:r>
    </w:p>
    <w:p>
      <w:pPr>
        <w:keepNext w:val="0"/>
        <w:keepLines w:val="0"/>
        <w:pageBreakBefore w:val="0"/>
        <w:widowControl w:val="0"/>
        <w:numPr>
          <w:ilvl w:val="0"/>
          <w:numId w:val="1"/>
        </w:numPr>
        <w:tabs>
          <w:tab w:val="left" w:pos="945"/>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牌匾标识及广告</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乙方安装于该</w:t>
      </w:r>
      <w:r>
        <w:rPr>
          <w:rFonts w:hint="eastAsia"/>
          <w:lang w:eastAsia="zh-CN"/>
        </w:rPr>
        <w:t>物业</w:t>
      </w:r>
      <w:r>
        <w:rPr>
          <w:rFonts w:hint="eastAsia"/>
        </w:rPr>
        <w:t>外部的牌匾与标识及的尺寸与规格等需经甲方同意，并按甲方的要求安装至指定位置。</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乙方需在指定的牌匾标识外宣安置广告牌或宣传标志的如需在政府管理部门报批的，所有手续及费用由乙方承担。</w:t>
      </w:r>
    </w:p>
    <w:p>
      <w:pPr>
        <w:keepNext w:val="0"/>
        <w:keepLines w:val="0"/>
        <w:pageBreakBefore w:val="0"/>
        <w:widowControl w:val="0"/>
        <w:numPr>
          <w:ilvl w:val="0"/>
          <w:numId w:val="1"/>
        </w:numPr>
        <w:tabs>
          <w:tab w:val="left" w:pos="1050"/>
          <w:tab w:val="clear" w:pos="1449"/>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双方权利义务</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甲方权利义务</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甲方有权按本合同收取乙方的租赁租金及相关费用。</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合同期满前三个月甲方可带其他有意承租者进入该</w:t>
      </w:r>
      <w:r>
        <w:rPr>
          <w:rFonts w:hint="eastAsia"/>
          <w:lang w:eastAsia="zh-CN"/>
        </w:rPr>
        <w:t>物业</w:t>
      </w:r>
      <w:r>
        <w:rPr>
          <w:rFonts w:hint="eastAsia"/>
        </w:rPr>
        <w:t>视察。</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甲方须提供有关部门核准的水、电设施。</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甲方保证乙方在承租期间可以正常合理使用该</w:t>
      </w:r>
      <w:r>
        <w:rPr>
          <w:rFonts w:hint="eastAsia"/>
          <w:lang w:val="en-US" w:eastAsia="zh-CN"/>
        </w:rPr>
        <w:t>物业</w:t>
      </w:r>
      <w:r>
        <w:rPr>
          <w:rFonts w:hint="eastAsia"/>
        </w:rPr>
        <w:t>。</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若乙方在经营中需要甲方提供该</w:t>
      </w:r>
      <w:r>
        <w:rPr>
          <w:rFonts w:hint="eastAsia"/>
          <w:lang w:val="en-US" w:eastAsia="zh-CN"/>
        </w:rPr>
        <w:t>物业</w:t>
      </w:r>
      <w:r>
        <w:rPr>
          <w:rFonts w:hint="eastAsia"/>
        </w:rPr>
        <w:t>的资料和办事中需甲方支持配合的，甲方可以予以协助。</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乙方权利义务</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乙方有权按本合同约定使用该</w:t>
      </w:r>
      <w:r>
        <w:rPr>
          <w:rFonts w:hint="eastAsia"/>
          <w:lang w:val="en-US" w:eastAsia="zh-CN"/>
        </w:rPr>
        <w:t>物业</w:t>
      </w:r>
      <w:r>
        <w:rPr>
          <w:rFonts w:hint="eastAsia"/>
        </w:rPr>
        <w:t>，依法经营；不得在该</w:t>
      </w:r>
      <w:r>
        <w:rPr>
          <w:rFonts w:hint="eastAsia"/>
          <w:lang w:val="en-US" w:eastAsia="zh-CN"/>
        </w:rPr>
        <w:t>物业</w:t>
      </w:r>
      <w:r>
        <w:rPr>
          <w:rFonts w:hint="eastAsia"/>
        </w:rPr>
        <w:t>内存放危险及违禁物品或从事违法活动。</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乙方经营应自行取得与之相适应的各种行政许可及批准（包括但不限于：营业执照、税务登记证）。</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乙方自行承担经营过程中产生的一切债权、债务、劳动纠纷及其他经济或法律责任。</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因乙方使用不当或其他非甲方或第三方原因造成该</w:t>
      </w:r>
      <w:r>
        <w:rPr>
          <w:rFonts w:hint="eastAsia"/>
          <w:lang w:eastAsia="zh-CN"/>
        </w:rPr>
        <w:t>物业</w:t>
      </w:r>
      <w:r>
        <w:rPr>
          <w:rFonts w:hint="eastAsia"/>
        </w:rPr>
        <w:t>及其附属设施遭受损坏或造成甲方或第三方遭受其他损失的，乙方应负责赔偿，乙方必须及时予以维修，因延误维修而造成甲方或第三方遭受损失的，亦由乙方负责赔偿。</w:t>
      </w:r>
    </w:p>
    <w:p>
      <w:pPr>
        <w:keepNext w:val="0"/>
        <w:keepLines w:val="0"/>
        <w:pageBreakBefore w:val="0"/>
        <w:widowControl w:val="0"/>
        <w:numPr>
          <w:ilvl w:val="2"/>
          <w:numId w:val="1"/>
        </w:numPr>
        <w:tabs>
          <w:tab w:val="left" w:pos="945"/>
          <w:tab w:val="clear" w:pos="1134"/>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乙方对甲方正常的房屋安全检查和维修应给予协助，因维修原因须临时搬迁的，要与甲方配合。阻延甲方维修而使甲方或第三方遭受损失的，乙方负责赔偿。</w:t>
      </w:r>
    </w:p>
    <w:p>
      <w:pPr>
        <w:keepNext w:val="0"/>
        <w:keepLines w:val="0"/>
        <w:pageBreakBefore w:val="0"/>
        <w:widowControl w:val="0"/>
        <w:numPr>
          <w:ilvl w:val="0"/>
          <w:numId w:val="1"/>
        </w:numPr>
        <w:tabs>
          <w:tab w:val="left" w:pos="1050"/>
          <w:tab w:val="clear" w:pos="1449"/>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合同终止与续期</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本合同终止</w:t>
      </w:r>
      <w:r>
        <w:rPr>
          <w:rFonts w:hint="eastAsia"/>
          <w:lang w:val="en-US" w:eastAsia="zh-CN"/>
        </w:rPr>
        <w:t>后</w:t>
      </w:r>
      <w:r>
        <w:rPr>
          <w:rFonts w:hint="eastAsia"/>
          <w:u w:val="single"/>
          <w:lang w:val="en-US" w:eastAsia="zh-CN"/>
        </w:rPr>
        <w:t xml:space="preserve">   </w:t>
      </w:r>
      <w:r>
        <w:rPr>
          <w:rFonts w:hint="eastAsia"/>
        </w:rPr>
        <w:t>日</w:t>
      </w:r>
      <w:r>
        <w:rPr>
          <w:rFonts w:hint="eastAsia"/>
          <w:lang w:val="en-US" w:eastAsia="zh-CN"/>
        </w:rPr>
        <w:t>内</w:t>
      </w:r>
      <w:r>
        <w:rPr>
          <w:rFonts w:hint="eastAsia"/>
        </w:rPr>
        <w:t>，乙方应搬离该</w:t>
      </w:r>
      <w:r>
        <w:rPr>
          <w:rFonts w:hint="eastAsia"/>
          <w:lang w:val="en-US" w:eastAsia="zh-CN"/>
        </w:rPr>
        <w:t>物业</w:t>
      </w:r>
      <w:r>
        <w:rPr>
          <w:rFonts w:hint="eastAsia"/>
        </w:rPr>
        <w:t>可移动的物品，装修及固定添附物(包括但不限于：铺设的管线、固定或镶嵌于墙体地面的设施物件等）归甲方所有。如乙方逾期搬离（包括因甲方行使留置权乙方无法搬离的情形），应每日按月租金</w:t>
      </w:r>
      <w:r>
        <w:rPr>
          <w:rFonts w:hint="eastAsia"/>
          <w:u w:val="single"/>
          <w:lang w:val="en-US" w:eastAsia="zh-CN"/>
        </w:rPr>
        <w:t xml:space="preserve">  </w:t>
      </w:r>
      <w:r>
        <w:rPr>
          <w:rFonts w:hint="eastAsia"/>
        </w:rPr>
        <w:t>%标准向甲方支付占用费，逾期超过10日的，甲方有权自行处理，而不予乙方任何赔偿或补偿。</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若乙方欲于合同期满后续租，应提前三个月向甲方提出书面申请，同等条件下乙方享有优先承租权。</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本合同终止，乙方应于终止日前结清租金水电费等各种费用，乙方搬离前有拖欠租金、水电费或有未尽其他义务的，甲方有权留置乙方于该</w:t>
      </w:r>
      <w:r>
        <w:rPr>
          <w:rFonts w:hint="eastAsia"/>
          <w:lang w:val="en-US" w:eastAsia="zh-CN"/>
        </w:rPr>
        <w:t>物业</w:t>
      </w:r>
      <w:r>
        <w:rPr>
          <w:rFonts w:hint="eastAsia"/>
        </w:rPr>
        <w:t>内的任何物品。</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一方可以提前30</w:t>
      </w:r>
      <w:r>
        <w:rPr>
          <w:rFonts w:hint="eastAsia"/>
          <w:lang w:eastAsia="zh-CN"/>
        </w:rPr>
        <w:t>个自然</w:t>
      </w:r>
      <w:r>
        <w:rPr>
          <w:rFonts w:hint="eastAsia"/>
        </w:rPr>
        <w:t>日通知另一方解除本合同，解除方按本合同违约解除本合同条款，承担提前解除合同的责任。</w:t>
      </w:r>
      <w:r>
        <w:rPr>
          <w:rFonts w:hint="eastAsia" w:hAnsi="宋体" w:cs="宋体"/>
          <w:kern w:val="0"/>
        </w:rPr>
        <w:t>　　</w:t>
      </w:r>
    </w:p>
    <w:p>
      <w:pPr>
        <w:keepNext w:val="0"/>
        <w:keepLines w:val="0"/>
        <w:pageBreakBefore w:val="0"/>
        <w:widowControl w:val="0"/>
        <w:numPr>
          <w:ilvl w:val="0"/>
          <w:numId w:val="1"/>
        </w:numPr>
        <w:tabs>
          <w:tab w:val="left" w:pos="1050"/>
          <w:tab w:val="clear" w:pos="1449"/>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违约责任</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乙方逾期交纳租金、水电气等能源费用及本合同约定的其它费用，每日按逾期总额的1％，向甲方给付滞纳金，逾期超过5日甲方另可停止该</w:t>
      </w:r>
      <w:r>
        <w:rPr>
          <w:rFonts w:hint="eastAsia"/>
          <w:lang w:eastAsia="zh-CN"/>
        </w:rPr>
        <w:t>物业</w:t>
      </w:r>
      <w:r>
        <w:rPr>
          <w:rFonts w:hint="eastAsia"/>
        </w:rPr>
        <w:t>的水电供应和控制该</w:t>
      </w:r>
      <w:r>
        <w:rPr>
          <w:rFonts w:hint="eastAsia"/>
          <w:lang w:eastAsia="zh-CN"/>
        </w:rPr>
        <w:t>物业</w:t>
      </w:r>
      <w:r>
        <w:rPr>
          <w:rFonts w:hint="eastAsia"/>
        </w:rPr>
        <w:t>的物品,逾期超过15日的，甲方有权解除本合同，没收乙方租赁保证金，追收逾期租金及滞纳金（滞纳金计算至实际给付日）。</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甲方违约解除本合同，或甲方违约乙方解除本合同，甲方双倍返还乙方租赁保证金，乙方的装修损失甲方按使用时间折价补偿。</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乙方违约解除本合同，或乙方违约甲方解除本合同，乙方租赁保证金抵做违约金，甲方不予返还，乙方装修等无偿归甲方所有。</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乙方违约，经甲方要求改正后，未能在甲方要求期限内改正的，甲方有权解除本合同，乙方按本条第1</w:t>
      </w:r>
      <w:r>
        <w:rPr>
          <w:rFonts w:hint="eastAsia"/>
          <w:lang w:val="en-US" w:eastAsia="zh-CN"/>
        </w:rPr>
        <w:t>2</w:t>
      </w:r>
      <w:r>
        <w:rPr>
          <w:rFonts w:hint="eastAsia"/>
        </w:rPr>
        <w:t>.3款承担违约责任。</w:t>
      </w:r>
    </w:p>
    <w:p>
      <w:pPr>
        <w:keepNext w:val="0"/>
        <w:keepLines w:val="0"/>
        <w:pageBreakBefore w:val="0"/>
        <w:widowControl w:val="0"/>
        <w:numPr>
          <w:ilvl w:val="0"/>
          <w:numId w:val="1"/>
        </w:numPr>
        <w:tabs>
          <w:tab w:val="left" w:pos="1050"/>
          <w:tab w:val="clear" w:pos="1449"/>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管辖法院</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本合同产生的争议由该</w:t>
      </w:r>
      <w:r>
        <w:rPr>
          <w:rFonts w:hint="eastAsia"/>
          <w:lang w:eastAsia="zh-CN"/>
        </w:rPr>
        <w:t>物业</w:t>
      </w:r>
      <w:r>
        <w:rPr>
          <w:rFonts w:hint="eastAsia"/>
        </w:rPr>
        <w:t>所在地的人民法院裁决。</w:t>
      </w:r>
    </w:p>
    <w:p>
      <w:pPr>
        <w:keepNext w:val="0"/>
        <w:keepLines w:val="0"/>
        <w:pageBreakBefore w:val="0"/>
        <w:widowControl w:val="0"/>
        <w:numPr>
          <w:ilvl w:val="0"/>
          <w:numId w:val="1"/>
        </w:numPr>
        <w:tabs>
          <w:tab w:val="left" w:pos="1050"/>
          <w:tab w:val="clear" w:pos="1449"/>
        </w:tabs>
        <w:kinsoku/>
        <w:wordWrap/>
        <w:overflowPunct/>
        <w:topLinePunct w:val="0"/>
        <w:autoSpaceDE/>
        <w:autoSpaceDN/>
        <w:bidi w:val="0"/>
        <w:adjustRightInd w:val="0"/>
        <w:snapToGrid w:val="0"/>
        <w:spacing w:line="360" w:lineRule="auto"/>
        <w:ind w:left="0" w:firstLine="482" w:firstLineChars="200"/>
        <w:textAlignment w:val="auto"/>
        <w:rPr>
          <w:rFonts w:hint="eastAsia"/>
          <w:b/>
        </w:rPr>
      </w:pPr>
      <w:r>
        <w:rPr>
          <w:rFonts w:hint="eastAsia"/>
          <w:b/>
        </w:rPr>
        <w:t>其它</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本合同条款划分为方便书写、阅读与理解所设，并非完全独立，条款间相辅相成，作为整体予以适用与解释。</w:t>
      </w:r>
    </w:p>
    <w:p>
      <w:pPr>
        <w:keepNext w:val="0"/>
        <w:keepLines w:val="0"/>
        <w:pageBreakBefore w:val="0"/>
        <w:widowControl w:val="0"/>
        <w:numPr>
          <w:ilvl w:val="1"/>
          <w:numId w:val="1"/>
        </w:numPr>
        <w:tabs>
          <w:tab w:val="left" w:pos="945"/>
        </w:tabs>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本合同一式</w:t>
      </w:r>
      <w:r>
        <w:rPr>
          <w:rFonts w:hint="eastAsia"/>
          <w:lang w:eastAsia="zh-CN"/>
        </w:rPr>
        <w:t>叁</w:t>
      </w:r>
      <w:r>
        <w:rPr>
          <w:rFonts w:hint="eastAsia"/>
        </w:rPr>
        <w:t>份，自甲乙双方签字之日生效，双方各执</w:t>
      </w:r>
      <w:r>
        <w:rPr>
          <w:rFonts w:hint="eastAsia"/>
          <w:u w:val="single"/>
          <w:lang w:eastAsia="zh-CN"/>
        </w:rPr>
        <w:t>一</w:t>
      </w:r>
      <w:r>
        <w:rPr>
          <w:rFonts w:hint="eastAsia"/>
        </w:rPr>
        <w:t>份，</w:t>
      </w:r>
      <w:r>
        <w:rPr>
          <w:rFonts w:hint="eastAsia"/>
          <w:lang w:eastAsia="zh-CN"/>
        </w:rPr>
        <w:t>惠州市公共资源交易中心惠阳分中心执一份，</w:t>
      </w:r>
      <w:r>
        <w:rPr>
          <w:rFonts w:hint="eastAsia"/>
        </w:rPr>
        <w:t>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sectPr>
          <w:footerReference r:id="rId3" w:type="default"/>
          <w:footerReference r:id="rId4" w:type="even"/>
          <w:pgSz w:w="11906" w:h="16838"/>
          <w:pgMar w:top="1701" w:right="1797" w:bottom="1134" w:left="179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 xml:space="preserve">甲方：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代表人：</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电话：</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传真：</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地址：</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E-mail：</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乙方：</w:t>
      </w:r>
      <w:r>
        <w:rPr>
          <w:rFonts w:hint="eastAsia" w:hAnsi="宋体"/>
          <w:color w:val="000000"/>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身份证号码：</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电话：</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传真：</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地址：</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0" w:firstLine="480" w:firstLineChars="200"/>
        <w:textAlignment w:val="auto"/>
        <w:rPr>
          <w:rFonts w:hint="eastAsia"/>
        </w:rPr>
      </w:pPr>
      <w:r>
        <w:rPr>
          <w:rFonts w:hint="eastAsia"/>
        </w:rPr>
        <w:t>mail：</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rPr>
        <w:sectPr>
          <w:type w:val="continuous"/>
          <w:pgSz w:w="11906" w:h="16838"/>
          <w:pgMar w:top="1701" w:right="1797" w:bottom="1134" w:left="1797" w:header="851" w:footer="992" w:gutter="0"/>
          <w:cols w:equalWidth="0" w:num="2">
            <w:col w:w="4143" w:space="225"/>
            <w:col w:w="3943"/>
          </w:cols>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ind w:firstLine="6240" w:firstLineChars="2600"/>
        <w:textAlignment w:val="auto"/>
        <w:rPr>
          <w:rFonts w:hint="eastAsia"/>
        </w:rPr>
      </w:pPr>
      <w:r>
        <w:rPr>
          <w:rFonts w:hint="eastAsia"/>
        </w:rPr>
        <w:t>二O</w:t>
      </w:r>
      <w:r>
        <w:rPr>
          <w:rFonts w:hint="eastAsia"/>
          <w:lang w:val="en-US" w:eastAsia="zh-CN"/>
        </w:rPr>
        <w:t xml:space="preserve">  </w:t>
      </w:r>
      <w:r>
        <w:rPr>
          <w:rFonts w:hint="eastAsia"/>
        </w:rPr>
        <w:t xml:space="preserve">  年</w:t>
      </w:r>
      <w:r>
        <w:rPr>
          <w:rFonts w:hint="eastAsia"/>
          <w:u w:val="single"/>
        </w:rPr>
        <w:t xml:space="preserve">  </w:t>
      </w:r>
      <w:r>
        <w:rPr>
          <w:rFonts w:hint="eastAsia"/>
        </w:rPr>
        <w:t>月</w:t>
      </w:r>
      <w:r>
        <w:rPr>
          <w:rFonts w:hint="eastAsia"/>
          <w:u w:val="single"/>
        </w:rPr>
        <w:t xml:space="preserve">  </w:t>
      </w:r>
      <w:r>
        <w:rPr>
          <w:rFonts w:hint="eastAsia"/>
        </w:rPr>
        <w:t>日</w:t>
      </w:r>
    </w:p>
    <w:sectPr>
      <w:type w:val="continuous"/>
      <w:pgSz w:w="11906" w:h="16838"/>
      <w:pgMar w:top="170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B2783"/>
    <w:multiLevelType w:val="multilevel"/>
    <w:tmpl w:val="0E7B2783"/>
    <w:lvl w:ilvl="0" w:tentative="0">
      <w:start w:val="1"/>
      <w:numFmt w:val="chineseCountingThousand"/>
      <w:lvlText w:val="第%1条"/>
      <w:lvlJc w:val="left"/>
      <w:pPr>
        <w:tabs>
          <w:tab w:val="left" w:pos="1449"/>
        </w:tabs>
        <w:ind w:left="740" w:hanging="425"/>
      </w:pPr>
      <w:rPr>
        <w:rFonts w:hint="eastAsia"/>
        <w:b/>
      </w:rPr>
    </w:lvl>
    <w:lvl w:ilvl="1" w:tentative="0">
      <w:start w:val="1"/>
      <w:numFmt w:val="decimal"/>
      <w:isLgl/>
      <w:lvlText w:val="%1.%2"/>
      <w:lvlJc w:val="left"/>
      <w:pPr>
        <w:tabs>
          <w:tab w:val="left" w:pos="1344"/>
        </w:tabs>
        <w:ind w:left="210" w:firstLine="0"/>
      </w:pPr>
      <w:rPr>
        <w:rFonts w:hint="eastAsia"/>
        <w:color w:val="auto"/>
      </w:rPr>
    </w:lvl>
    <w:lvl w:ilvl="2" w:tentative="0">
      <w:start w:val="1"/>
      <w:numFmt w:val="decimal"/>
      <w:isLgl/>
      <w:lvlText w:val="%1.%2.%3"/>
      <w:lvlJc w:val="left"/>
      <w:pPr>
        <w:tabs>
          <w:tab w:val="left" w:pos="1134"/>
        </w:tabs>
        <w:ind w:left="0" w:firstLine="0"/>
      </w:pPr>
      <w:rPr>
        <w:rFonts w:hint="eastAsia"/>
      </w:rPr>
    </w:lvl>
    <w:lvl w:ilvl="3" w:tentative="0">
      <w:start w:val="1"/>
      <w:numFmt w:val="decimal"/>
      <w:isLgl/>
      <w:lvlText w:val="%1.%2.%3.%4"/>
      <w:lvlJc w:val="left"/>
      <w:pPr>
        <w:tabs>
          <w:tab w:val="left" w:pos="1134"/>
        </w:tabs>
        <w:ind w:left="0" w:firstLine="0"/>
      </w:pPr>
      <w:rPr>
        <w:rFonts w:hint="eastAsia"/>
      </w:rPr>
    </w:lvl>
    <w:lvl w:ilvl="4" w:tentative="0">
      <w:start w:val="1"/>
      <w:numFmt w:val="chineseCountingThousand"/>
      <w:isLgl/>
      <w:lvlText w:val="%1.%2.%3.%4.%5"/>
      <w:lvlJc w:val="left"/>
      <w:pPr>
        <w:tabs>
          <w:tab w:val="left" w:pos="3141"/>
        </w:tabs>
        <w:ind w:left="0" w:firstLine="0"/>
      </w:pPr>
      <w:rPr>
        <w:rFonts w:hint="eastAsia"/>
      </w:rPr>
    </w:lvl>
    <w:lvl w:ilvl="5" w:tentative="0">
      <w:start w:val="1"/>
      <w:numFmt w:val="chineseCountingThousand"/>
      <w:isLgl/>
      <w:lvlText w:val="%1.%2.%3.%4.%5.%6"/>
      <w:lvlJc w:val="left"/>
      <w:pPr>
        <w:tabs>
          <w:tab w:val="left" w:pos="3566"/>
        </w:tabs>
        <w:ind w:left="0" w:firstLine="0"/>
      </w:pPr>
      <w:rPr>
        <w:rFonts w:hint="eastAsia"/>
      </w:rPr>
    </w:lvl>
    <w:lvl w:ilvl="6" w:tentative="0">
      <w:start w:val="1"/>
      <w:numFmt w:val="chineseCountingThousand"/>
      <w:isLgl/>
      <w:lvlText w:val="%1.%2.%3.%4.%5.%6.%7"/>
      <w:lvlJc w:val="left"/>
      <w:pPr>
        <w:tabs>
          <w:tab w:val="left" w:pos="4351"/>
        </w:tabs>
        <w:ind w:left="0" w:firstLine="0"/>
      </w:pPr>
      <w:rPr>
        <w:rFonts w:hint="eastAsia"/>
      </w:rPr>
    </w:lvl>
    <w:lvl w:ilvl="7" w:tentative="0">
      <w:start w:val="1"/>
      <w:numFmt w:val="chineseCountingThousand"/>
      <w:isLgl/>
      <w:lvlText w:val="%1.%2.%3.%4.%5.%6.%7.%8"/>
      <w:lvlJc w:val="left"/>
      <w:pPr>
        <w:tabs>
          <w:tab w:val="left" w:pos="5136"/>
        </w:tabs>
        <w:ind w:left="0" w:firstLine="0"/>
      </w:pPr>
      <w:rPr>
        <w:rFonts w:hint="eastAsia"/>
      </w:rPr>
    </w:lvl>
    <w:lvl w:ilvl="8" w:tentative="0">
      <w:start w:val="1"/>
      <w:numFmt w:val="chineseCountingThousand"/>
      <w:isLgl/>
      <w:lvlText w:val="%1.%2.%3.%4.%5.%7.%8.%9"/>
      <w:lvlJc w:val="left"/>
      <w:pPr>
        <w:tabs>
          <w:tab w:val="left" w:pos="5922"/>
        </w:tabs>
        <w:ind w:left="0" w:firstLine="0"/>
      </w:pPr>
      <w:rPr>
        <w:rFonts w:hint="eastAsia"/>
      </w:rPr>
    </w:lvl>
  </w:abstractNum>
  <w:abstractNum w:abstractNumId="1">
    <w:nsid w:val="12EBF95D"/>
    <w:multiLevelType w:val="singleLevel"/>
    <w:tmpl w:val="12EBF95D"/>
    <w:lvl w:ilvl="0" w:tentative="0">
      <w:start w:val="5"/>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NDU4YjJiOTgxZmRmNjdjNjEwMjZhNzk5NWVjMjIifQ=="/>
  </w:docVars>
  <w:rsids>
    <w:rsidRoot w:val="00B2085A"/>
    <w:rsid w:val="0001268E"/>
    <w:rsid w:val="0001531C"/>
    <w:rsid w:val="000161CB"/>
    <w:rsid w:val="0005513E"/>
    <w:rsid w:val="00072EEF"/>
    <w:rsid w:val="00096652"/>
    <w:rsid w:val="000A1D87"/>
    <w:rsid w:val="000D5186"/>
    <w:rsid w:val="00111F3F"/>
    <w:rsid w:val="00173A46"/>
    <w:rsid w:val="001B6849"/>
    <w:rsid w:val="002446C5"/>
    <w:rsid w:val="00276D8A"/>
    <w:rsid w:val="00282400"/>
    <w:rsid w:val="00293733"/>
    <w:rsid w:val="002B39D3"/>
    <w:rsid w:val="002D29B0"/>
    <w:rsid w:val="003029ED"/>
    <w:rsid w:val="00346006"/>
    <w:rsid w:val="00387FE6"/>
    <w:rsid w:val="003904CA"/>
    <w:rsid w:val="003A7BB3"/>
    <w:rsid w:val="003F0F7B"/>
    <w:rsid w:val="00405199"/>
    <w:rsid w:val="00441EEE"/>
    <w:rsid w:val="00455979"/>
    <w:rsid w:val="00480E6B"/>
    <w:rsid w:val="00482099"/>
    <w:rsid w:val="00497F9B"/>
    <w:rsid w:val="004A3E0F"/>
    <w:rsid w:val="004B4007"/>
    <w:rsid w:val="004D4302"/>
    <w:rsid w:val="004E25B2"/>
    <w:rsid w:val="004E2D93"/>
    <w:rsid w:val="00545DD7"/>
    <w:rsid w:val="005B07CE"/>
    <w:rsid w:val="005B09F7"/>
    <w:rsid w:val="005E04FA"/>
    <w:rsid w:val="00604781"/>
    <w:rsid w:val="00626458"/>
    <w:rsid w:val="006C4484"/>
    <w:rsid w:val="006D04DD"/>
    <w:rsid w:val="006E6B53"/>
    <w:rsid w:val="00723EA5"/>
    <w:rsid w:val="007436C0"/>
    <w:rsid w:val="00761847"/>
    <w:rsid w:val="00763E9A"/>
    <w:rsid w:val="00774B97"/>
    <w:rsid w:val="007800A0"/>
    <w:rsid w:val="00803741"/>
    <w:rsid w:val="00834260"/>
    <w:rsid w:val="00840212"/>
    <w:rsid w:val="00847F4A"/>
    <w:rsid w:val="00861A66"/>
    <w:rsid w:val="008715EB"/>
    <w:rsid w:val="008C159A"/>
    <w:rsid w:val="008F253B"/>
    <w:rsid w:val="00930783"/>
    <w:rsid w:val="00947813"/>
    <w:rsid w:val="0097388A"/>
    <w:rsid w:val="009B4A8E"/>
    <w:rsid w:val="009C063A"/>
    <w:rsid w:val="009E67C8"/>
    <w:rsid w:val="00A46F19"/>
    <w:rsid w:val="00AB2F79"/>
    <w:rsid w:val="00AE7073"/>
    <w:rsid w:val="00B11DD1"/>
    <w:rsid w:val="00B2085A"/>
    <w:rsid w:val="00B33ACD"/>
    <w:rsid w:val="00B3438A"/>
    <w:rsid w:val="00B50F06"/>
    <w:rsid w:val="00B51E3C"/>
    <w:rsid w:val="00B654A1"/>
    <w:rsid w:val="00B72DC2"/>
    <w:rsid w:val="00B80D79"/>
    <w:rsid w:val="00B912F6"/>
    <w:rsid w:val="00B93965"/>
    <w:rsid w:val="00BA1EDB"/>
    <w:rsid w:val="00BA64A3"/>
    <w:rsid w:val="00BC73FE"/>
    <w:rsid w:val="00BE1B12"/>
    <w:rsid w:val="00BF46D6"/>
    <w:rsid w:val="00C13F9A"/>
    <w:rsid w:val="00C35A19"/>
    <w:rsid w:val="00CC40BC"/>
    <w:rsid w:val="00CD6E1C"/>
    <w:rsid w:val="00D247A0"/>
    <w:rsid w:val="00D35648"/>
    <w:rsid w:val="00D41022"/>
    <w:rsid w:val="00D50A63"/>
    <w:rsid w:val="00D81E0A"/>
    <w:rsid w:val="00D844D9"/>
    <w:rsid w:val="00D9346B"/>
    <w:rsid w:val="00DA054A"/>
    <w:rsid w:val="00DA7956"/>
    <w:rsid w:val="00E02116"/>
    <w:rsid w:val="00E122EE"/>
    <w:rsid w:val="00E14354"/>
    <w:rsid w:val="00E240C6"/>
    <w:rsid w:val="00E877F7"/>
    <w:rsid w:val="00EB1F3A"/>
    <w:rsid w:val="00F039D7"/>
    <w:rsid w:val="00F0406F"/>
    <w:rsid w:val="00F10E58"/>
    <w:rsid w:val="00F21D0B"/>
    <w:rsid w:val="00F869F7"/>
    <w:rsid w:val="00FF04D9"/>
    <w:rsid w:val="054B51E0"/>
    <w:rsid w:val="0C4003CF"/>
    <w:rsid w:val="122F2626"/>
    <w:rsid w:val="15C76224"/>
    <w:rsid w:val="18BD73A8"/>
    <w:rsid w:val="1AC716A7"/>
    <w:rsid w:val="282E3575"/>
    <w:rsid w:val="2D990D65"/>
    <w:rsid w:val="30717697"/>
    <w:rsid w:val="37924A8B"/>
    <w:rsid w:val="3C030432"/>
    <w:rsid w:val="40646522"/>
    <w:rsid w:val="42B27BC7"/>
    <w:rsid w:val="46D96FA9"/>
    <w:rsid w:val="48630D3A"/>
    <w:rsid w:val="507C0D7D"/>
    <w:rsid w:val="511A6FBB"/>
    <w:rsid w:val="53D32E49"/>
    <w:rsid w:val="59BC5898"/>
    <w:rsid w:val="5F4B2619"/>
    <w:rsid w:val="628C538F"/>
    <w:rsid w:val="68CD1E85"/>
    <w:rsid w:val="690924B0"/>
    <w:rsid w:val="6DC0275B"/>
    <w:rsid w:val="6ECC6A18"/>
    <w:rsid w:val="708B56CB"/>
    <w:rsid w:val="7C9A7950"/>
    <w:rsid w:val="7E1152CA"/>
    <w:rsid w:val="7E9D1272"/>
    <w:rsid w:val="7FEE1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ZD</Company>
  <Pages>5</Pages>
  <Words>2711</Words>
  <Characters>2736</Characters>
  <Lines>31</Lines>
  <Paragraphs>8</Paragraphs>
  <TotalTime>10</TotalTime>
  <ScaleCrop>false</ScaleCrop>
  <LinksUpToDate>false</LinksUpToDate>
  <CharactersWithSpaces>2947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2012-03-16T03:54:00Z</dcterms:created>
  <dc:creator>dingfeng</dc:creator>
  <cp:lastModifiedBy>h先生</cp:lastModifiedBy>
  <cp:lastPrinted>2023-06-18T11:28:27Z</cp:lastPrinted>
  <dcterms:modified xsi:type="dcterms:W3CDTF">2023-06-18T11:28:56Z</dcterms:modified>
  <dc:title>合同编号：（DWE-年月-铺号）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2AB26CAA97AB4904A5A6FC05CEBB0FD8</vt:lpwstr>
  </property>
  <property fmtid="{D5CDD505-2E9C-101B-9397-08002B2CF9AE}" pid="4" name="commondata">
    <vt:lpwstr>eyJoZGlkIjoiMDM1M2NlNjRmMmFmOTIyNDY1YWE3ODJiNjQyZjM4NjIifQ==</vt:lpwstr>
  </property>
</Properties>
</file>