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3180"/>
        <w:gridCol w:w="876"/>
        <w:gridCol w:w="876"/>
        <w:gridCol w:w="892"/>
        <w:gridCol w:w="892"/>
        <w:gridCol w:w="892"/>
        <w:gridCol w:w="1198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租赁建筑面积（㎡）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月租金底价（元）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竞价保证金（元）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免租期（月）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租赁期限（年）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租金递增方式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博罗县罗阳镇九村村头上头塘村小组三丫浪倒角山（土名）地段华泓·星岸城2号楼1层01号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博罗县罗阳镇九村村头上头塘村小组三丫浪倒角山（土名）地段华泓·星岸城2号楼1层02号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博罗县罗阳镇九村村头上头塘村小组三丫浪倒角山（土名）地段华泓·星岸城2号楼1层03号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博罗县罗阳镇九村村头上头塘村小组三丫浪倒角山（土名）地段华泓·星岸城2号楼1层04号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博罗县罗阳镇九村村头上头塘村小组三丫浪倒角山（土名）地段华泓·星岸城2号楼1层05号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博罗县罗阳镇九村村头上头塘村小组三丫浪倒角山（土名）地段华泓·星岸城2号楼1层06号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博罗县罗阳镇九村村头上头塘村小组三丫浪倒角山（土名）地段华泓·星岸城2号楼1层07号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博罗县罗阳镇九村村头上头塘村小组三丫浪倒角山（土名）地段华泓·星岸城2号楼1层08号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博罗县罗阳镇九村村头上头塘村小组三丫浪倒角山（土名）地段华泓·星岸城2号楼2层01号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博罗县罗阳镇九村村头上头塘村小组三丫浪倒角山（土名）地段华泓·星岸城2号楼2层02号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博罗县罗阳镇九村村头上头塘村小组三丫浪倒角山（土名）地段华泓·星岸城2号楼2层03号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博罗县罗阳镇九村村头上头塘村小组三丫浪倒角山（土名）地段华泓·星岸城2号楼2层04号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博罗县罗阳镇九村村头上头塘村小组三丫浪倒角山（土名）地段华泓·星岸城2号楼2层05号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博罗县罗阳镇九村村头上头塘村小组三丫浪倒角山（土名）地段华泓·星岸城2号楼2层06号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博罗县罗阳镇九村村头上头塘村小组三丫浪倒角山（土名）地段华泓·星岸城2号楼2层07号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博罗县罗阳镇九村村头上头塘村小组三丫浪倒角山（土名）地段华泓·星岸城2号楼2层08号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博罗县罗阳镇九村村头上头塘村小组三丫浪倒角山（土名）地段华泓·星岸城3号楼1层09号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博罗县罗阳镇九村村头上头塘村小组三丫浪倒角山（土名）地段华泓·星岸城3号楼1层10号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博罗县罗阳镇九村村头上头塘村小组三丫浪倒角山（土名）地段华泓·星岸城3号楼1层11号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博罗县罗阳镇九村村头上头塘村小组三丫浪倒角山（土名）地段华泓·星岸城3号楼1层12号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有租约（租期至2024年12月31日止）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博罗县罗阳镇九村村头上头塘村小组三丫浪倒角山（土名）地段华泓·星岸城3号楼1层13号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博罗县罗阳镇九村村头上头塘村小组三丫浪倒角山（土名）地段华泓·星岸城3号楼1层14号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博罗县罗阳镇九村村头上头塘村小组三丫浪倒角山（土名）地段华泓·星岸城3号楼1层15号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有租约（租期至2024年12月31日止）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博罗县罗阳镇九村村头上头塘村小组三丫浪倒角山（土名）地段华泓·星岸城3号楼1层16号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博罗县罗阳镇九村村头上头塘村小组三丫浪倒角山（土名）地段华泓·星岸城3号楼1层17号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博罗县罗阳镇九村村头上头塘村小组三丫浪倒角山（土名）地段华泓·星岸城3号楼1层18号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博罗县罗阳镇九村村头上头塘村小组三丫浪倒角山（土名）地段华泓·星岸城3号楼1层19号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博罗县罗阳镇九村村头上头塘村小组三丫浪倒角山（土名）地段华泓·星岸城3号楼1层20号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博罗县罗阳镇九村村头上头塘村小组三丫浪倒角山（土名）地段华泓·星岸城3号楼1层21号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博罗县罗阳镇九村村头上头塘村小组三丫浪倒角山（土名）地段华泓·星岸城3号楼1层22号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博罗县罗阳镇九村村头上头塘村小组三丫浪倒角山（土名）地段华泓·星岸城3号楼2层09号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博罗县罗阳镇九村村头上头塘村小组三丫浪倒角山（土名）地段华泓·星岸城3号楼2层10号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博罗县罗阳镇九村村头上头塘村小组三丫浪倒角山（土名）地段华泓·星岸城3号楼2层11号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博罗县罗阳镇九村村头上头塘村小组三丫浪倒角山（土名）地段华泓·星岸城3号楼2层12号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博罗县罗阳镇九村村头上头塘村小组三丫浪倒角山（土名）地段华泓·星岸城3号楼2层13号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博罗县罗阳镇九村村头上头塘村小组三丫浪倒角山（土名）地段华泓·星岸城3号楼2层14号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博罗县罗阳镇九村村头上头塘村小组三丫浪倒角山（土名）地段华泓·星岸城3号楼2层15号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博罗县罗阳镇九村村头上头塘村小组三丫浪倒角山（土名）地段华泓·星岸城3号楼2层16号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博罗县罗阳镇九村村头上头塘村小组三丫浪倒角山（土名）地段华泓·星岸城4号楼101号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博罗县罗阳镇九村村头上头塘村小组三丫浪倒角山（土名）地段华泓·星岸城4号楼102号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博罗县罗阳镇九村村头上头塘村小组三丫浪倒角山（土名）地段华泓·星岸城4号楼103号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博罗县罗阳镇九村村头上头塘村小组三丫浪倒角山（土名）地段华泓·星岸城4号楼104号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博罗县罗阳镇九村村头上头塘村小组三丫浪倒角山（土名）地段华泓·星岸城4号楼105号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博罗县罗阳镇九村村头上头塘村小组三丫浪倒角山（土名）地段华泓·星岸城4号楼106号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博罗县罗阳镇九村村头上头塘村小组三丫浪倒角山（土名）地段华泓·星岸城4号楼201号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博罗县罗阳镇九村村头上头塘村小组三丫浪倒角山（土名）地段华泓·星岸城4号楼202号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博罗县罗阳镇九村村头上头塘村小组三丫浪倒角山（土名）地段华泓·星岸城4号楼203号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博罗县罗阳镇九村村头上头塘村小组三丫浪倒角山（土名）地段华泓·星岸城4号楼204号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博罗县罗阳镇九村村头上头塘村小组三丫浪倒角山（土名）地段华泓·星岸城4号楼205号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博罗县罗阳镇九村村头上头塘村小组三丫浪倒角山（土名）地段华泓·星岸城4号楼206号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博罗县罗阳镇九村村头上头塘村小组三丫浪倒角山（土名）地段华泓·星岸城5号楼101号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博罗县罗阳镇九村村头上头塘村小组三丫浪倒角山（土名）地段华泓·星岸城5号楼102号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博罗县罗阳镇九村村头上头塘村小组三丫浪倒角山（土名）地段华泓·星岸城5号楼103号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博罗县罗阳镇九村村头上头塘村小组三丫浪倒角山（土名）地段华泓·星岸城5号楼104号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博罗县罗阳镇九村村头上头塘村小组三丫浪倒角山（土名）地段华泓·星岸城5号楼105号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有租约（租期至2024年12月31日止）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博罗县罗阳镇九村村头上头塘村小组三丫浪倒角山（土名）地段华泓·星岸城5号楼106号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有租约（租期至2024年12月31日止）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博罗县罗阳镇九村村头上头塘村小组三丫浪倒角山（土名）地段华泓·星岸城5号楼201号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博罗县罗阳镇九村村头上头塘村小组三丫浪倒角山（土名）地段华泓·星岸城5号楼202号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博罗县罗阳镇九村村头上头塘村小组三丫浪倒角山（土名）地段华泓·星岸城5号楼203号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博罗县罗阳镇九村村头上头塘村小组三丫浪倒角山（土名）地段华泓·星岸城5号楼204号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博罗县罗阳镇九村村头上头塘村小组三丫浪倒角山（土名）地段华泓·星岸城5号楼205号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博罗县罗阳镇九村村头上头塘村小组三丫浪倒角山（土名）地段华泓·星岸城5号楼206号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博罗县罗阳镇九村村头上头塘村小组三丫浪倒角山（土名）地段华泓·星岸城6号楼101号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有租约（租期至2024年12月31日止）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博罗县罗阳镇九村村头上头塘村小组三丫浪倒角山（土名）地段华泓·星岸城6号楼102号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有租约（租期至2024年12月31日止）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博罗县罗阳镇九村村头上头塘村小组三丫浪倒角山（土名）地段华泓·星岸城6号楼103号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有租约（租期至2024年12月31日止）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博罗县罗阳镇九村村头上头塘村小组三丫浪倒角山（土名）地段华泓·星岸城6号楼104号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博罗县罗阳镇九村村头上头塘村小组三丫浪倒角山（土名）地段华泓·星岸城6号楼105号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博罗县罗阳镇九村村头上头塘村小组三丫浪倒角山（土名）地段华泓·星岸城6号楼106号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博罗县罗阳镇九村村头上头塘村小组三丫浪倒角山（土名）地段华泓·星岸城6号楼201号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博罗县罗阳镇九村村头上头塘村小组三丫浪倒角山（土名）地段华泓·星岸城6号楼202号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博罗县罗阳镇九村村头上头塘村小组三丫浪倒角山（土名）地段华泓·星岸城6号楼203号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博罗县罗阳镇九村村头上头塘村小组三丫浪倒角山（土名）地段华泓·星岸城6号楼204号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博罗县罗阳镇九村村头上头塘村小组三丫浪倒角山（土名）地段华泓·星岸城6号楼205号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博罗县罗阳镇九村村头上头塘村小组三丫浪倒角山（土名）地段华泓·星岸城6号楼206号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4,000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月租金每年在上一年基础上递增2%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26F56"/>
    <w:rsid w:val="28226F56"/>
    <w:rsid w:val="414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市公共资源交易中心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2024-11-25T09:15:00Z</dcterms:created>
  <dc:creator>陈昊彤</dc:creator>
  <cp:lastModifiedBy>陈昊彤</cp:lastModifiedBy>
  <dcterms:modified xsi:type="dcterms:W3CDTF">2024-11-25T23:10:21Z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C939A082A9164C8AAC037A679E4481F8</vt:lpwstr>
  </property>
</Properties>
</file>