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p>
    <w:p w14:paraId="4F757A9A">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065FA1FE">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w:t>
      </w:r>
      <w:r>
        <w:rPr>
          <w:rFonts w:hint="default" w:eastAsia="仿宋"/>
          <w:b/>
          <w:bCs/>
          <w:color w:val="auto"/>
          <w:sz w:val="32"/>
          <w:szCs w:val="32"/>
          <w:highlight w:val="none"/>
          <w:lang w:val="en-US" w:eastAsia="zh-CN"/>
        </w:rPr>
        <w:t>惠州交投利臻置业有限公司</w:t>
      </w:r>
      <w:r>
        <w:rPr>
          <w:rFonts w:eastAsia="仿宋"/>
          <w:b/>
          <w:bCs/>
          <w:color w:val="auto"/>
          <w:sz w:val="32"/>
          <w:szCs w:val="32"/>
          <w:highlight w:val="none"/>
        </w:rPr>
        <w:t>（以下简称“甲方”）</w:t>
      </w:r>
    </w:p>
    <w:p w14:paraId="13690DBD">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r>
        <w:rPr>
          <w:rFonts w:hint="default" w:eastAsia="仿宋"/>
          <w:b/>
          <w:bCs/>
          <w:color w:val="auto"/>
          <w:sz w:val="32"/>
          <w:szCs w:val="32"/>
          <w:highlight w:val="none"/>
          <w:lang w:val="en-US" w:eastAsia="zh-CN"/>
        </w:rPr>
        <w:t>91441300MA5445KQ5E</w:t>
      </w:r>
    </w:p>
    <w:p w14:paraId="267A3B48">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r>
        <w:rPr>
          <w:rFonts w:hint="default" w:ascii="Times New Roman" w:hAnsi="Times New Roman" w:eastAsia="仿宋" w:cs="Times New Roman"/>
          <w:b/>
          <w:bCs/>
          <w:color w:val="auto"/>
          <w:sz w:val="32"/>
          <w:szCs w:val="32"/>
          <w:highlight w:val="none"/>
        </w:rPr>
        <w:t>惠州市江北16号小区兴盛大酒店10层01号</w:t>
      </w:r>
    </w:p>
    <w:p w14:paraId="075FB359">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r>
        <w:rPr>
          <w:rFonts w:hint="default" w:ascii="Times New Roman" w:hAnsi="Times New Roman" w:eastAsia="仿宋" w:cs="Times New Roman"/>
          <w:b/>
          <w:bCs/>
          <w:color w:val="auto"/>
          <w:sz w:val="32"/>
          <w:szCs w:val="32"/>
          <w:highlight w:val="none"/>
        </w:rPr>
        <w:t>0752-2895062</w:t>
      </w:r>
    </w:p>
    <w:p w14:paraId="12B7BFC7">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183E5FE9">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14:paraId="7EE3E82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14:paraId="30DB2088">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0AB917C7">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57E4CA56">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3AC9CE9C">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F508100">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cs="Times New Roman"/>
          <w:bCs/>
          <w:color w:val="auto"/>
          <w:sz w:val="28"/>
          <w:szCs w:val="28"/>
          <w:highlight w:val="none"/>
          <w:lang w:val="en-US" w:eastAsia="zh-CN"/>
        </w:rPr>
      </w:pP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惠州仲恺高新区陈江街道银湖路146号、康泰街14号及吉祥街20号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详见附表</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3570.28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lang w:val="en-US" w:eastAsia="zh-CN"/>
        </w:rPr>
        <w:t>，</w:t>
      </w:r>
      <w:r>
        <w:rPr>
          <w:rFonts w:hint="default" w:ascii="Times New Roman" w:hAnsi="Times New Roman" w:eastAsia="仿宋" w:cs="Times New Roman"/>
          <w:bCs/>
          <w:color w:val="auto"/>
          <w:sz w:val="28"/>
          <w:szCs w:val="28"/>
          <w:highlight w:val="none"/>
        </w:rPr>
        <w:t>房屋建筑面积为</w:t>
      </w:r>
      <w:r>
        <w:rPr>
          <w:rFonts w:hint="eastAsia" w:eastAsia="仿宋"/>
          <w:bCs/>
          <w:color w:val="auto"/>
          <w:sz w:val="28"/>
          <w:szCs w:val="28"/>
          <w:highlight w:val="none"/>
          <w:u w:val="single"/>
          <w:lang w:val="en-US" w:eastAsia="zh-CN"/>
        </w:rPr>
        <w:t xml:space="preserve"> 3570.28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val="en-US" w:eastAsia="zh-CN"/>
        </w:rPr>
        <w:t>。</w:t>
      </w:r>
    </w:p>
    <w:tbl>
      <w:tblPr>
        <w:tblStyle w:val="12"/>
        <w:tblW w:w="84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2665"/>
        <w:gridCol w:w="2721"/>
        <w:gridCol w:w="2296"/>
      </w:tblGrid>
      <w:tr w14:paraId="1B98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4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证载名称</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6C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产权证号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EE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证载总建筑面积（㎡）</w:t>
            </w:r>
          </w:p>
        </w:tc>
      </w:tr>
      <w:tr w14:paraId="2BFA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A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42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惠州仲恺高新区陈江街道银湖路146号1层01号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9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《房地产权证》粤房地权证惠州字第1100344915号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E4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439.03</w:t>
            </w:r>
          </w:p>
        </w:tc>
      </w:tr>
      <w:tr w14:paraId="13BC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F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66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惠州仲恺高新区陈江街道银湖路146号2层01号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0F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《房地产权证》粤房地权证惠州字第1100344916号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1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431.63</w:t>
            </w:r>
          </w:p>
        </w:tc>
      </w:tr>
      <w:tr w14:paraId="0DFF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DA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惠州仲恺高新区陈江街道银湖路146号3层01号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3B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《房地产权证》粤房地权证惠州字第1100344932号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0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r>
      <w:tr w14:paraId="58D2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B2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6C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惠州仲恺高新区陈江街道银湖路146号4层01号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F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《房地产权证》粤房地权证惠州字第1100344934号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FE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r>
      <w:tr w14:paraId="09D1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FF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B2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惠州仲恺高新区陈江街道银湖路146号5层01号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2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《房地产权证》粤房地权证惠州字第1100344935号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5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r>
      <w:tr w14:paraId="58DF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DC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92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惠州仲恺高新区陈江街道银湖路146号6层01号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17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《房地产权证》粤房地权证惠州字第1100344938号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04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r>
      <w:tr w14:paraId="5187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D1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C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惠州仲恺高新区陈江街道银湖路146号7层01号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E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《房地产权证》粤房地权证惠州字第1100344940号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F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r>
      <w:tr w14:paraId="2CAA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AA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21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惠州仲恺高新区陈江街道银湖路146号8层01号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1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《房地产权证》粤房地权证惠州字第1100344943号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3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r>
      <w:tr w14:paraId="3042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96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43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惠州仲恺高新区陈江街道银湖路146号9层01号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3A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《房地产权证》粤房地权证惠州字第1100344945号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2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r>
      <w:tr w14:paraId="09D8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D4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4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惠州仲恺高新区陈江街道银湖路146号10层01号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22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《房地产权证》粤房地权证惠州字第1100344948号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C2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w:t>
            </w:r>
          </w:p>
        </w:tc>
      </w:tr>
      <w:tr w14:paraId="0D0F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D6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85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惠州仲恺高新区陈江街道康泰街14号1层01号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D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《房地产权证》粤房地权证惠州字第1100161321号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8A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68.48</w:t>
            </w:r>
          </w:p>
        </w:tc>
      </w:tr>
      <w:tr w14:paraId="59FC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E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惠州仲恺高新区陈江街道康泰街14号1层02号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F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《房地产权证》粤房地权证惠州字第1100161422号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3B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68.48</w:t>
            </w:r>
          </w:p>
        </w:tc>
      </w:tr>
      <w:tr w14:paraId="76F2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A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FF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惠州仲恺高新区陈江街道康泰街14号5层02号房</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9B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《房地产权证》粤房地权证惠州字第1100161333号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0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75.46</w:t>
            </w:r>
          </w:p>
        </w:tc>
      </w:tr>
      <w:tr w14:paraId="788E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A9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惠州仲恺高新区陈江街道吉祥街20号1层01号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6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《房地产权证》粤房地权证惠州字第110011324号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41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73.95</w:t>
            </w:r>
          </w:p>
        </w:tc>
      </w:tr>
      <w:tr w14:paraId="331D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0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49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惠州仲恺高新区陈江街道吉祥街20号2层01号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22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《房地产权证》粤房地权证惠州字第110011325号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A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95.76</w:t>
            </w:r>
          </w:p>
        </w:tc>
      </w:tr>
      <w:tr w14:paraId="76B2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87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惠州仲恺高新区陈江街道吉祥街20号3层01号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A4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《房地产权证》粤房地权证惠州字第110011326号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86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95.76</w:t>
            </w:r>
          </w:p>
        </w:tc>
      </w:tr>
      <w:tr w14:paraId="605C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0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26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惠州仲恺高新区陈江街道吉祥街20号4层01号</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CF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《房地产权证》粤房地权证惠州字第110011327号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24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63.27</w:t>
            </w:r>
          </w:p>
        </w:tc>
      </w:tr>
      <w:tr w14:paraId="75B9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618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8E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8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3570.28</w:t>
            </w:r>
          </w:p>
        </w:tc>
      </w:tr>
    </w:tbl>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4E7DE593">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商业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6DEB87F4">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wordWrap/>
        <w:overflowPunct/>
        <w:topLinePunct w:val="0"/>
        <w:autoSpaceDE/>
        <w:autoSpaceDN/>
        <w:bidi w:val="0"/>
        <w:adjustRightInd/>
        <w:snapToGrid/>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64571ED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lang w:eastAsia="zh-CN"/>
        </w:rPr>
      </w:pPr>
      <w:r>
        <w:rPr>
          <w:rFonts w:hint="eastAsia" w:eastAsia="仿宋"/>
          <w:bCs/>
          <w:color w:val="auto"/>
          <w:sz w:val="28"/>
          <w:szCs w:val="28"/>
          <w:highlight w:val="none"/>
          <w:lang w:eastAsia="zh-CN"/>
        </w:rPr>
        <w:t>租期共计</w:t>
      </w:r>
      <w:r>
        <w:rPr>
          <w:rFonts w:hint="eastAsia" w:eastAsia="仿宋"/>
          <w:bCs/>
          <w:color w:val="auto"/>
          <w:sz w:val="28"/>
          <w:szCs w:val="28"/>
          <w:highlight w:val="none"/>
          <w:lang w:val="en-US" w:eastAsia="zh-CN"/>
        </w:rPr>
        <w:t>10</w:t>
      </w:r>
      <w:r>
        <w:rPr>
          <w:rFonts w:hint="eastAsia" w:eastAsia="仿宋"/>
          <w:bCs/>
          <w:color w:val="auto"/>
          <w:sz w:val="28"/>
          <w:szCs w:val="28"/>
          <w:highlight w:val="none"/>
          <w:lang w:eastAsia="zh-CN"/>
        </w:rPr>
        <w:t>年，</w:t>
      </w:r>
      <w:r>
        <w:rPr>
          <w:rFonts w:hint="eastAsia" w:eastAsia="仿宋"/>
          <w:bCs/>
          <w:color w:val="auto"/>
          <w:sz w:val="28"/>
          <w:szCs w:val="28"/>
          <w:highlight w:val="none"/>
          <w:lang w:val="en-US" w:eastAsia="zh-CN"/>
        </w:rPr>
        <w:t>租期及计租</w:t>
      </w:r>
      <w:r>
        <w:rPr>
          <w:rFonts w:hint="default" w:eastAsia="仿宋"/>
          <w:bCs/>
          <w:color w:val="auto"/>
          <w:sz w:val="28"/>
          <w:szCs w:val="28"/>
          <w:highlight w:val="none"/>
          <w:lang w:val="en-US" w:eastAsia="zh-CN"/>
        </w:rPr>
        <w:t>日期</w:t>
      </w:r>
      <w:r>
        <w:rPr>
          <w:rFonts w:hint="eastAsia" w:eastAsia="仿宋"/>
          <w:bCs/>
          <w:color w:val="auto"/>
          <w:sz w:val="28"/>
          <w:szCs w:val="28"/>
          <w:highlight w:val="none"/>
          <w:lang w:val="en-US" w:eastAsia="zh-CN"/>
        </w:rPr>
        <w:t>均</w:t>
      </w:r>
      <w:r>
        <w:rPr>
          <w:rFonts w:hint="default" w:eastAsia="仿宋"/>
          <w:bCs/>
          <w:color w:val="auto"/>
          <w:sz w:val="28"/>
          <w:szCs w:val="28"/>
          <w:highlight w:val="none"/>
          <w:lang w:val="en-US" w:eastAsia="zh-CN"/>
        </w:rPr>
        <w:t>以双方签订</w:t>
      </w:r>
      <w:r>
        <w:rPr>
          <w:rFonts w:hint="eastAsia" w:eastAsia="仿宋"/>
          <w:bCs/>
          <w:color w:val="auto"/>
          <w:sz w:val="28"/>
          <w:szCs w:val="28"/>
          <w:highlight w:val="none"/>
          <w:lang w:val="en-US" w:eastAsia="zh-CN"/>
        </w:rPr>
        <w:t>合同之日起算</w:t>
      </w:r>
      <w:r>
        <w:rPr>
          <w:rFonts w:hint="default" w:eastAsia="仿宋"/>
          <w:bCs/>
          <w:color w:val="auto"/>
          <w:sz w:val="28"/>
          <w:szCs w:val="28"/>
          <w:highlight w:val="none"/>
          <w:lang w:val="en-US" w:eastAsia="zh-CN"/>
        </w:rPr>
        <w:t>。</w:t>
      </w:r>
    </w:p>
    <w:p w14:paraId="45AE2132">
      <w:pPr>
        <w:keepNext w:val="0"/>
        <w:keepLines w:val="0"/>
        <w:pageBreakBefore w:val="0"/>
        <w:widowControl w:val="0"/>
        <w:kinsoku/>
        <w:wordWrap/>
        <w:overflowPunct/>
        <w:topLinePunct w:val="0"/>
        <w:autoSpaceDE/>
        <w:autoSpaceDN/>
        <w:bidi w:val="0"/>
        <w:adjustRightInd/>
        <w:snapToGrid/>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w:t>
      </w:r>
      <w:r>
        <w:rPr>
          <w:rFonts w:hint="eastAsia" w:eastAsia="仿宋"/>
          <w:bCs/>
          <w:color w:val="auto"/>
          <w:sz w:val="28"/>
          <w:szCs w:val="28"/>
          <w:highlight w:val="none"/>
          <w:lang w:val="en-US" w:eastAsia="zh-CN"/>
        </w:rPr>
        <w:t>当天</w:t>
      </w:r>
      <w:r>
        <w:rPr>
          <w:rFonts w:eastAsia="仿宋"/>
          <w:bCs/>
          <w:color w:val="auto"/>
          <w:sz w:val="28"/>
          <w:szCs w:val="28"/>
          <w:highlight w:val="none"/>
        </w:rPr>
        <w:t>，乙方向甲方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lang w:val="en-US" w:eastAsia="zh-CN"/>
        </w:rPr>
        <w:t>贰拾万元整</w:t>
      </w:r>
      <w:r>
        <w:rPr>
          <w:rFonts w:eastAsia="仿宋"/>
          <w:bCs/>
          <w:color w:val="auto"/>
          <w:sz w:val="28"/>
          <w:szCs w:val="28"/>
          <w:highlight w:val="none"/>
        </w:rPr>
        <w:t>（¥</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200000</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5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保证金剩余部分无息退还给乙方（乙方须提供保证金收款凭证原件办理）：</w:t>
      </w:r>
    </w:p>
    <w:p w14:paraId="3994B66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wordWrap/>
        <w:overflowPunct/>
        <w:topLinePunct w:val="0"/>
        <w:autoSpaceDE/>
        <w:autoSpaceDN/>
        <w:bidi w:val="0"/>
        <w:adjustRightInd/>
        <w:snapToGrid/>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lang w:val="en-US" w:eastAsia="zh-CN"/>
        </w:rPr>
      </w:pPr>
      <w:r>
        <w:rPr>
          <w:rFonts w:hint="eastAsia" w:eastAsia="仿宋"/>
          <w:bCs/>
          <w:color w:val="auto"/>
          <w:sz w:val="28"/>
          <w:szCs w:val="28"/>
          <w:highlight w:val="none"/>
          <w:lang w:val="en-US" w:eastAsia="zh-CN"/>
        </w:rPr>
        <w:t>（一）自计租日起，乙方按约定承担租金（除另有说明外，本合同项下所述“租金”均指“含税租金”，税率9%，如国家税务政策调整按实际税务政策执行），租金计取标准见下：</w:t>
      </w:r>
    </w:p>
    <w:tbl>
      <w:tblPr>
        <w:tblStyle w:val="12"/>
        <w:tblW w:w="8811" w:type="dxa"/>
        <w:jc w:val="center"/>
        <w:tblLayout w:type="fixed"/>
        <w:tblCellMar>
          <w:top w:w="0" w:type="dxa"/>
          <w:left w:w="108" w:type="dxa"/>
          <w:bottom w:w="0" w:type="dxa"/>
          <w:right w:w="108" w:type="dxa"/>
        </w:tblCellMar>
      </w:tblPr>
      <w:tblGrid>
        <w:gridCol w:w="1787"/>
        <w:gridCol w:w="2032"/>
        <w:gridCol w:w="1289"/>
        <w:gridCol w:w="2638"/>
        <w:gridCol w:w="1065"/>
      </w:tblGrid>
      <w:tr w14:paraId="0CC795C5">
        <w:tblPrEx>
          <w:tblCellMar>
            <w:top w:w="0" w:type="dxa"/>
            <w:left w:w="108" w:type="dxa"/>
            <w:bottom w:w="0" w:type="dxa"/>
            <w:right w:w="108" w:type="dxa"/>
          </w:tblCellMar>
        </w:tblPrEx>
        <w:trPr>
          <w:trHeight w:val="57" w:hRule="atLeast"/>
          <w:jc w:val="center"/>
        </w:trPr>
        <w:tc>
          <w:tcPr>
            <w:tcW w:w="1787" w:type="dxa"/>
            <w:tcBorders>
              <w:top w:val="single" w:color="auto" w:sz="4" w:space="0"/>
              <w:left w:val="single" w:color="auto" w:sz="4" w:space="0"/>
              <w:right w:val="single" w:color="auto" w:sz="4" w:space="0"/>
            </w:tcBorders>
            <w:noWrap w:val="0"/>
            <w:vAlign w:val="center"/>
          </w:tcPr>
          <w:p w14:paraId="7AE6AE3D">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eastAsia" w:ascii="仿宋" w:hAnsi="仿宋" w:eastAsia="仿宋" w:cs="仿宋"/>
                <w:b/>
                <w:bCs/>
                <w:i w:val="0"/>
                <w:iCs w:val="0"/>
                <w:color w:val="000000"/>
                <w:kern w:val="0"/>
                <w:sz w:val="21"/>
                <w:szCs w:val="21"/>
                <w:u w:val="none"/>
                <w:lang w:val="en-US" w:eastAsia="zh-CN" w:bidi="ar"/>
              </w:rPr>
              <w:t>租赁期限</w:t>
            </w:r>
          </w:p>
        </w:tc>
        <w:tc>
          <w:tcPr>
            <w:tcW w:w="2032" w:type="dxa"/>
            <w:tcBorders>
              <w:top w:val="single" w:color="auto" w:sz="4" w:space="0"/>
              <w:left w:val="single" w:color="auto" w:sz="4" w:space="0"/>
              <w:right w:val="single" w:color="auto" w:sz="4" w:space="0"/>
            </w:tcBorders>
            <w:noWrap w:val="0"/>
            <w:vAlign w:val="center"/>
          </w:tcPr>
          <w:p w14:paraId="3DACD0D8">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eastAsia" w:ascii="仿宋" w:hAnsi="仿宋" w:eastAsia="仿宋" w:cs="仿宋"/>
                <w:b/>
                <w:bCs/>
                <w:i w:val="0"/>
                <w:iCs w:val="0"/>
                <w:color w:val="000000"/>
                <w:kern w:val="0"/>
                <w:sz w:val="21"/>
                <w:szCs w:val="21"/>
                <w:u w:val="none"/>
                <w:lang w:val="en-US" w:eastAsia="zh-CN" w:bidi="ar"/>
              </w:rPr>
              <w:t>租金单价（元</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月）</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2F55E0F2">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eastAsia" w:ascii="仿宋" w:hAnsi="仿宋" w:eastAsia="仿宋" w:cs="仿宋"/>
                <w:b/>
                <w:bCs/>
                <w:i w:val="0"/>
                <w:iCs w:val="0"/>
                <w:color w:val="000000"/>
                <w:kern w:val="0"/>
                <w:sz w:val="21"/>
                <w:szCs w:val="21"/>
                <w:u w:val="none"/>
                <w:lang w:val="en-US" w:eastAsia="zh-CN" w:bidi="ar"/>
              </w:rPr>
              <w:t>递增率（</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w:t>
            </w:r>
          </w:p>
        </w:tc>
        <w:tc>
          <w:tcPr>
            <w:tcW w:w="2638" w:type="dxa"/>
            <w:tcBorders>
              <w:top w:val="single" w:color="auto" w:sz="4" w:space="0"/>
              <w:left w:val="single" w:color="auto" w:sz="4" w:space="0"/>
              <w:right w:val="single" w:color="auto" w:sz="4" w:space="0"/>
            </w:tcBorders>
            <w:noWrap w:val="0"/>
            <w:vAlign w:val="center"/>
          </w:tcPr>
          <w:p w14:paraId="0A89B47F">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eastAsia" w:ascii="仿宋" w:hAnsi="仿宋" w:eastAsia="仿宋" w:cs="仿宋"/>
                <w:b/>
                <w:bCs/>
                <w:i w:val="0"/>
                <w:iCs w:val="0"/>
                <w:color w:val="000000"/>
                <w:kern w:val="0"/>
                <w:sz w:val="21"/>
                <w:szCs w:val="21"/>
                <w:u w:val="none"/>
                <w:lang w:val="en-US" w:eastAsia="zh-CN" w:bidi="ar"/>
              </w:rPr>
              <w:t>每月应付费用总额（元</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月）</w:t>
            </w:r>
          </w:p>
        </w:tc>
        <w:tc>
          <w:tcPr>
            <w:tcW w:w="1065" w:type="dxa"/>
            <w:tcBorders>
              <w:top w:val="single" w:color="auto" w:sz="4" w:space="0"/>
              <w:left w:val="single" w:color="auto" w:sz="4" w:space="0"/>
              <w:right w:val="single" w:color="auto" w:sz="4" w:space="0"/>
            </w:tcBorders>
            <w:noWrap w:val="0"/>
            <w:vAlign w:val="center"/>
          </w:tcPr>
          <w:p w14:paraId="5CEFEA4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备注</w:t>
            </w:r>
          </w:p>
        </w:tc>
      </w:tr>
      <w:tr w14:paraId="569EFC07">
        <w:tblPrEx>
          <w:tblCellMar>
            <w:top w:w="0" w:type="dxa"/>
            <w:left w:w="108" w:type="dxa"/>
            <w:bottom w:w="0" w:type="dxa"/>
            <w:right w:w="108" w:type="dxa"/>
          </w:tblCellMar>
        </w:tblPrEx>
        <w:trPr>
          <w:trHeight w:val="90" w:hRule="atLeast"/>
          <w:jc w:val="center"/>
        </w:trPr>
        <w:tc>
          <w:tcPr>
            <w:tcW w:w="1787" w:type="dxa"/>
            <w:tcBorders>
              <w:top w:val="single" w:color="auto" w:sz="4" w:space="0"/>
              <w:left w:val="single" w:color="auto" w:sz="4" w:space="0"/>
              <w:bottom w:val="single" w:color="auto" w:sz="4" w:space="0"/>
              <w:right w:val="single" w:color="auto" w:sz="4" w:space="0"/>
            </w:tcBorders>
            <w:noWrap/>
            <w:vAlign w:val="center"/>
          </w:tcPr>
          <w:p w14:paraId="22FAD3DF">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2026</w:t>
            </w:r>
            <w:r>
              <w:rPr>
                <w:rFonts w:hint="eastAsia" w:ascii="仿宋" w:hAnsi="仿宋" w:eastAsia="仿宋" w:cs="仿宋"/>
                <w:i w:val="0"/>
                <w:iCs w:val="0"/>
                <w:color w:val="000000"/>
                <w:kern w:val="0"/>
                <w:sz w:val="21"/>
                <w:szCs w:val="21"/>
                <w:u w:val="none"/>
                <w:lang w:val="en-US" w:eastAsia="zh-CN" w:bidi="ar"/>
              </w:rPr>
              <w:t>年至</w:t>
            </w:r>
            <w:r>
              <w:rPr>
                <w:rFonts w:hint="default" w:ascii="Times New Roman" w:hAnsi="Times New Roman" w:eastAsia="宋体" w:cs="Times New Roman"/>
                <w:i w:val="0"/>
                <w:iCs w:val="0"/>
                <w:color w:val="000000"/>
                <w:kern w:val="0"/>
                <w:sz w:val="21"/>
                <w:szCs w:val="21"/>
                <w:u w:val="none"/>
                <w:lang w:val="en-US" w:eastAsia="zh-CN" w:bidi="ar"/>
              </w:rPr>
              <w:t>202</w:t>
            </w:r>
            <w:r>
              <w:rPr>
                <w:rFonts w:hint="eastAsia" w:cs="Times New Roman"/>
                <w:i w:val="0"/>
                <w:iCs w:val="0"/>
                <w:color w:val="000000"/>
                <w:kern w:val="0"/>
                <w:sz w:val="21"/>
                <w:szCs w:val="21"/>
                <w:u w:val="none"/>
                <w:lang w:val="en-US" w:eastAsia="zh-CN" w:bidi="ar"/>
              </w:rPr>
              <w:t>7</w:t>
            </w:r>
            <w:r>
              <w:rPr>
                <w:rFonts w:hint="eastAsia" w:ascii="仿宋" w:hAnsi="仿宋" w:eastAsia="仿宋" w:cs="仿宋"/>
                <w:i w:val="0"/>
                <w:iCs w:val="0"/>
                <w:color w:val="000000"/>
                <w:kern w:val="0"/>
                <w:sz w:val="21"/>
                <w:szCs w:val="21"/>
                <w:u w:val="none"/>
                <w:lang w:val="en-US" w:eastAsia="zh-CN" w:bidi="ar"/>
              </w:rPr>
              <w:t>年</w:t>
            </w:r>
          </w:p>
        </w:tc>
        <w:tc>
          <w:tcPr>
            <w:tcW w:w="2032" w:type="dxa"/>
            <w:tcBorders>
              <w:top w:val="single" w:color="auto" w:sz="4" w:space="0"/>
              <w:left w:val="single" w:color="auto" w:sz="4" w:space="0"/>
              <w:bottom w:val="single" w:color="auto" w:sz="4" w:space="0"/>
              <w:right w:val="single" w:color="auto" w:sz="4" w:space="0"/>
            </w:tcBorders>
            <w:noWrap/>
            <w:vAlign w:val="center"/>
          </w:tcPr>
          <w:p w14:paraId="6DBDE0E3">
            <w:pPr>
              <w:jc w:val="center"/>
              <w:rPr>
                <w:rFonts w:hint="default" w:ascii="Times New Roman" w:hAnsi="Times New Roman" w:eastAsia="仿宋" w:cs="Times New Roman"/>
                <w:b w:val="0"/>
                <w:bCs/>
                <w:color w:val="auto"/>
                <w:kern w:val="0"/>
                <w:sz w:val="21"/>
                <w:szCs w:val="21"/>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top"/>
          </w:tcPr>
          <w:p w14:paraId="34B2FD3D">
            <w:pPr>
              <w:jc w:val="center"/>
              <w:rPr>
                <w:rFonts w:hint="default" w:ascii="Times New Roman" w:hAnsi="Times New Roman" w:eastAsia="仿宋" w:cs="Times New Roman"/>
                <w:b w:val="0"/>
                <w:bCs/>
                <w:color w:val="auto"/>
                <w:kern w:val="0"/>
                <w:sz w:val="21"/>
                <w:szCs w:val="21"/>
                <w:highlight w:val="none"/>
                <w:lang w:val="en-US" w:eastAsia="zh-CN"/>
              </w:rPr>
            </w:pPr>
          </w:p>
        </w:tc>
        <w:tc>
          <w:tcPr>
            <w:tcW w:w="2638" w:type="dxa"/>
            <w:tcBorders>
              <w:top w:val="single" w:color="auto" w:sz="4" w:space="0"/>
              <w:left w:val="single" w:color="auto" w:sz="4" w:space="0"/>
              <w:bottom w:val="single" w:color="auto" w:sz="4" w:space="0"/>
              <w:right w:val="single" w:color="auto" w:sz="4" w:space="0"/>
            </w:tcBorders>
            <w:noWrap/>
            <w:vAlign w:val="center"/>
          </w:tcPr>
          <w:p w14:paraId="35E930B0">
            <w:pPr>
              <w:jc w:val="center"/>
              <w:rPr>
                <w:rFonts w:hint="default" w:ascii="Times New Roman" w:hAnsi="Times New Roman" w:eastAsia="仿宋" w:cs="Times New Roman"/>
                <w:b w:val="0"/>
                <w:bCs/>
                <w:color w:val="auto"/>
                <w:kern w:val="0"/>
                <w:sz w:val="21"/>
                <w:szCs w:val="21"/>
                <w:highlight w:val="none"/>
              </w:rPr>
            </w:pPr>
          </w:p>
        </w:tc>
        <w:tc>
          <w:tcPr>
            <w:tcW w:w="1065" w:type="dxa"/>
            <w:vMerge w:val="restart"/>
            <w:tcBorders>
              <w:top w:val="single" w:color="auto" w:sz="4" w:space="0"/>
              <w:left w:val="single" w:color="auto" w:sz="4" w:space="0"/>
              <w:right w:val="single" w:color="auto" w:sz="4" w:space="0"/>
            </w:tcBorders>
            <w:noWrap/>
            <w:vAlign w:val="center"/>
          </w:tcPr>
          <w:p w14:paraId="66DBEA7D">
            <w:pPr>
              <w:jc w:val="center"/>
              <w:rPr>
                <w:rFonts w:hint="default" w:ascii="Times New Roman" w:hAnsi="Times New Roman" w:eastAsia="仿宋" w:cs="Times New Roman"/>
                <w:b w:val="0"/>
                <w:bCs/>
                <w:color w:val="auto"/>
                <w:kern w:val="0"/>
                <w:sz w:val="21"/>
                <w:szCs w:val="21"/>
                <w:highlight w:val="none"/>
              </w:rPr>
            </w:pPr>
            <w:r>
              <w:rPr>
                <w:rFonts w:hint="default" w:ascii="仿宋" w:hAnsi="仿宋" w:eastAsia="仿宋" w:cs="仿宋"/>
                <w:i w:val="0"/>
                <w:iCs w:val="0"/>
                <w:color w:val="000000"/>
                <w:kern w:val="0"/>
                <w:sz w:val="21"/>
                <w:szCs w:val="21"/>
                <w:u w:val="none"/>
                <w:lang w:val="en-US" w:eastAsia="zh-CN" w:bidi="ar"/>
              </w:rPr>
              <w:t>租期内前</w:t>
            </w:r>
            <w:r>
              <w:rPr>
                <w:rFonts w:hint="eastAsia" w:ascii="仿宋" w:hAnsi="仿宋" w:eastAsia="仿宋" w:cs="仿宋"/>
                <w:i w:val="0"/>
                <w:iCs w:val="0"/>
                <w:color w:val="000000"/>
                <w:kern w:val="0"/>
                <w:sz w:val="21"/>
                <w:szCs w:val="21"/>
                <w:u w:val="none"/>
                <w:lang w:val="en-US" w:eastAsia="zh-CN" w:bidi="ar"/>
              </w:rPr>
              <w:t>12</w:t>
            </w:r>
            <w:r>
              <w:rPr>
                <w:rFonts w:hint="default" w:ascii="仿宋" w:hAnsi="仿宋" w:eastAsia="仿宋" w:cs="仿宋"/>
                <w:i w:val="0"/>
                <w:iCs w:val="0"/>
                <w:color w:val="000000"/>
                <w:kern w:val="0"/>
                <w:sz w:val="21"/>
                <w:szCs w:val="21"/>
                <w:u w:val="none"/>
                <w:lang w:val="en-US" w:eastAsia="zh-CN" w:bidi="ar"/>
              </w:rPr>
              <w:t>个月按租金减半收取</w:t>
            </w:r>
          </w:p>
        </w:tc>
      </w:tr>
      <w:tr w14:paraId="35E982D3">
        <w:tblPrEx>
          <w:tblCellMar>
            <w:top w:w="0" w:type="dxa"/>
            <w:left w:w="108" w:type="dxa"/>
            <w:bottom w:w="0" w:type="dxa"/>
            <w:right w:w="108" w:type="dxa"/>
          </w:tblCellMar>
        </w:tblPrEx>
        <w:trPr>
          <w:trHeight w:val="57" w:hRule="atLeast"/>
          <w:jc w:val="center"/>
        </w:trPr>
        <w:tc>
          <w:tcPr>
            <w:tcW w:w="1787" w:type="dxa"/>
            <w:tcBorders>
              <w:top w:val="single" w:color="auto" w:sz="4" w:space="0"/>
              <w:left w:val="single" w:color="auto" w:sz="4" w:space="0"/>
              <w:bottom w:val="single" w:color="auto" w:sz="4" w:space="0"/>
              <w:right w:val="single" w:color="auto" w:sz="4" w:space="0"/>
            </w:tcBorders>
            <w:noWrap/>
            <w:vAlign w:val="center"/>
          </w:tcPr>
          <w:p w14:paraId="1A8C51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w:t>
            </w:r>
            <w:r>
              <w:rPr>
                <w:rFonts w:hint="eastAsia" w:cs="Times New Roman"/>
                <w:i w:val="0"/>
                <w:iCs w:val="0"/>
                <w:color w:val="000000"/>
                <w:kern w:val="0"/>
                <w:sz w:val="21"/>
                <w:szCs w:val="21"/>
                <w:u w:val="none"/>
                <w:lang w:val="en-US" w:eastAsia="zh-CN" w:bidi="ar"/>
              </w:rPr>
              <w:t>7</w:t>
            </w:r>
            <w:r>
              <w:rPr>
                <w:rFonts w:hint="eastAsia" w:ascii="仿宋" w:hAnsi="仿宋" w:eastAsia="仿宋" w:cs="仿宋"/>
                <w:i w:val="0"/>
                <w:iCs w:val="0"/>
                <w:color w:val="000000"/>
                <w:kern w:val="0"/>
                <w:sz w:val="21"/>
                <w:szCs w:val="21"/>
                <w:u w:val="none"/>
                <w:lang w:val="en-US" w:eastAsia="zh-CN" w:bidi="ar"/>
              </w:rPr>
              <w:t>年至</w:t>
            </w:r>
            <w:r>
              <w:rPr>
                <w:rFonts w:hint="default" w:ascii="Times New Roman" w:hAnsi="Times New Roman" w:eastAsia="宋体" w:cs="Times New Roman"/>
                <w:i w:val="0"/>
                <w:iCs w:val="0"/>
                <w:color w:val="000000"/>
                <w:kern w:val="0"/>
                <w:sz w:val="21"/>
                <w:szCs w:val="21"/>
                <w:u w:val="none"/>
                <w:lang w:val="en-US" w:eastAsia="zh-CN" w:bidi="ar"/>
              </w:rPr>
              <w:t>2028</w:t>
            </w:r>
            <w:r>
              <w:rPr>
                <w:rFonts w:hint="eastAsia" w:ascii="仿宋" w:hAnsi="仿宋" w:eastAsia="仿宋" w:cs="仿宋"/>
                <w:i w:val="0"/>
                <w:iCs w:val="0"/>
                <w:color w:val="000000"/>
                <w:kern w:val="0"/>
                <w:sz w:val="21"/>
                <w:szCs w:val="21"/>
                <w:u w:val="none"/>
                <w:lang w:val="en-US" w:eastAsia="zh-CN" w:bidi="ar"/>
              </w:rPr>
              <w:t>年</w:t>
            </w:r>
          </w:p>
        </w:tc>
        <w:tc>
          <w:tcPr>
            <w:tcW w:w="2032" w:type="dxa"/>
            <w:tcBorders>
              <w:top w:val="single" w:color="auto" w:sz="4" w:space="0"/>
              <w:left w:val="single" w:color="auto" w:sz="4" w:space="0"/>
              <w:bottom w:val="single" w:color="auto" w:sz="4" w:space="0"/>
              <w:right w:val="single" w:color="auto" w:sz="4" w:space="0"/>
            </w:tcBorders>
            <w:noWrap/>
            <w:vAlign w:val="center"/>
          </w:tcPr>
          <w:p w14:paraId="0D5D43EA">
            <w:pPr>
              <w:jc w:val="center"/>
              <w:rPr>
                <w:rFonts w:hint="default" w:ascii="Times New Roman" w:hAnsi="Times New Roman" w:eastAsia="仿宋" w:cs="Times New Roman"/>
                <w:b w:val="0"/>
                <w:bCs/>
                <w:color w:val="auto"/>
                <w:kern w:val="0"/>
                <w:sz w:val="21"/>
                <w:szCs w:val="21"/>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top"/>
          </w:tcPr>
          <w:p w14:paraId="4AC1BD3B">
            <w:pPr>
              <w:jc w:val="center"/>
              <w:rPr>
                <w:rFonts w:hint="default" w:ascii="Times New Roman" w:hAnsi="Times New Roman" w:eastAsia="仿宋" w:cs="Times New Roman"/>
                <w:b w:val="0"/>
                <w:bCs/>
                <w:color w:val="auto"/>
                <w:kern w:val="0"/>
                <w:sz w:val="21"/>
                <w:szCs w:val="21"/>
                <w:highlight w:val="none"/>
                <w:lang w:val="en-US" w:eastAsia="zh-CN"/>
              </w:rPr>
            </w:pPr>
          </w:p>
        </w:tc>
        <w:tc>
          <w:tcPr>
            <w:tcW w:w="2638" w:type="dxa"/>
            <w:tcBorders>
              <w:top w:val="single" w:color="auto" w:sz="4" w:space="0"/>
              <w:left w:val="single" w:color="auto" w:sz="4" w:space="0"/>
              <w:bottom w:val="single" w:color="auto" w:sz="4" w:space="0"/>
              <w:right w:val="single" w:color="auto" w:sz="4" w:space="0"/>
            </w:tcBorders>
            <w:noWrap/>
            <w:vAlign w:val="center"/>
          </w:tcPr>
          <w:p w14:paraId="62568F24">
            <w:pPr>
              <w:jc w:val="center"/>
              <w:rPr>
                <w:rFonts w:hint="default" w:ascii="Times New Roman" w:hAnsi="Times New Roman" w:eastAsia="仿宋" w:cs="Times New Roman"/>
                <w:b w:val="0"/>
                <w:bCs/>
                <w:color w:val="auto"/>
                <w:kern w:val="0"/>
                <w:sz w:val="21"/>
                <w:szCs w:val="21"/>
                <w:highlight w:val="none"/>
              </w:rPr>
            </w:pPr>
          </w:p>
        </w:tc>
        <w:tc>
          <w:tcPr>
            <w:tcW w:w="1065" w:type="dxa"/>
            <w:vMerge w:val="continue"/>
            <w:tcBorders>
              <w:left w:val="single" w:color="auto" w:sz="4" w:space="0"/>
              <w:right w:val="single" w:color="auto" w:sz="4" w:space="0"/>
            </w:tcBorders>
            <w:noWrap/>
            <w:vAlign w:val="center"/>
          </w:tcPr>
          <w:p w14:paraId="66988016">
            <w:pPr>
              <w:jc w:val="center"/>
              <w:rPr>
                <w:rFonts w:hint="default" w:ascii="Times New Roman" w:hAnsi="Times New Roman" w:eastAsia="仿宋" w:cs="Times New Roman"/>
                <w:b w:val="0"/>
                <w:bCs/>
                <w:color w:val="auto"/>
                <w:kern w:val="0"/>
                <w:sz w:val="21"/>
                <w:szCs w:val="21"/>
                <w:highlight w:val="none"/>
              </w:rPr>
            </w:pPr>
          </w:p>
        </w:tc>
      </w:tr>
      <w:tr w14:paraId="0CB6C3B1">
        <w:tblPrEx>
          <w:tblCellMar>
            <w:top w:w="0" w:type="dxa"/>
            <w:left w:w="108" w:type="dxa"/>
            <w:bottom w:w="0" w:type="dxa"/>
            <w:right w:w="108" w:type="dxa"/>
          </w:tblCellMar>
        </w:tblPrEx>
        <w:trPr>
          <w:trHeight w:val="57" w:hRule="atLeast"/>
          <w:jc w:val="center"/>
        </w:trPr>
        <w:tc>
          <w:tcPr>
            <w:tcW w:w="1787" w:type="dxa"/>
            <w:tcBorders>
              <w:top w:val="single" w:color="auto" w:sz="4" w:space="0"/>
              <w:left w:val="single" w:color="auto" w:sz="4" w:space="0"/>
              <w:bottom w:val="single" w:color="auto" w:sz="4" w:space="0"/>
              <w:right w:val="single" w:color="auto" w:sz="4" w:space="0"/>
            </w:tcBorders>
            <w:noWrap/>
            <w:vAlign w:val="center"/>
          </w:tcPr>
          <w:p w14:paraId="1798D806">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2028</w:t>
            </w:r>
            <w:r>
              <w:rPr>
                <w:rFonts w:hint="eastAsia" w:ascii="仿宋" w:hAnsi="仿宋" w:eastAsia="仿宋" w:cs="仿宋"/>
                <w:i w:val="0"/>
                <w:iCs w:val="0"/>
                <w:color w:val="000000"/>
                <w:kern w:val="0"/>
                <w:sz w:val="21"/>
                <w:szCs w:val="21"/>
                <w:u w:val="none"/>
                <w:lang w:val="en-US" w:eastAsia="zh-CN" w:bidi="ar"/>
              </w:rPr>
              <w:t>年至</w:t>
            </w:r>
            <w:r>
              <w:rPr>
                <w:rFonts w:hint="default" w:ascii="Times New Roman" w:hAnsi="Times New Roman" w:eastAsia="宋体" w:cs="Times New Roman"/>
                <w:i w:val="0"/>
                <w:iCs w:val="0"/>
                <w:color w:val="000000"/>
                <w:kern w:val="0"/>
                <w:sz w:val="21"/>
                <w:szCs w:val="21"/>
                <w:u w:val="none"/>
                <w:lang w:val="en-US" w:eastAsia="zh-CN" w:bidi="ar"/>
              </w:rPr>
              <w:t>2030</w:t>
            </w:r>
            <w:r>
              <w:rPr>
                <w:rFonts w:hint="eastAsia" w:ascii="仿宋" w:hAnsi="仿宋" w:eastAsia="仿宋" w:cs="仿宋"/>
                <w:i w:val="0"/>
                <w:iCs w:val="0"/>
                <w:color w:val="000000"/>
                <w:kern w:val="0"/>
                <w:sz w:val="21"/>
                <w:szCs w:val="21"/>
                <w:u w:val="none"/>
                <w:lang w:val="en-US" w:eastAsia="zh-CN" w:bidi="ar"/>
              </w:rPr>
              <w:t>年</w:t>
            </w:r>
          </w:p>
        </w:tc>
        <w:tc>
          <w:tcPr>
            <w:tcW w:w="2032" w:type="dxa"/>
            <w:tcBorders>
              <w:top w:val="single" w:color="auto" w:sz="4" w:space="0"/>
              <w:left w:val="single" w:color="auto" w:sz="4" w:space="0"/>
              <w:bottom w:val="single" w:color="auto" w:sz="4" w:space="0"/>
              <w:right w:val="single" w:color="auto" w:sz="4" w:space="0"/>
            </w:tcBorders>
            <w:noWrap/>
            <w:vAlign w:val="center"/>
          </w:tcPr>
          <w:p w14:paraId="11B3088E">
            <w:pPr>
              <w:jc w:val="center"/>
              <w:rPr>
                <w:rFonts w:hint="default" w:ascii="Times New Roman" w:hAnsi="Times New Roman" w:eastAsia="仿宋" w:cs="Times New Roman"/>
                <w:b w:val="0"/>
                <w:bCs/>
                <w:color w:val="auto"/>
                <w:kern w:val="0"/>
                <w:sz w:val="21"/>
                <w:szCs w:val="21"/>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top"/>
          </w:tcPr>
          <w:p w14:paraId="0BFC74A1">
            <w:pPr>
              <w:keepNext w:val="0"/>
              <w:keepLines w:val="0"/>
              <w:widowControl/>
              <w:suppressLineNumbers w:val="0"/>
              <w:jc w:val="center"/>
              <w:textAlignment w:val="top"/>
              <w:rPr>
                <w:rFonts w:hint="default" w:ascii="Times New Roman" w:hAnsi="Times New Roman" w:eastAsia="仿宋" w:cs="Times New Roman"/>
                <w:b w:val="0"/>
                <w:bCs/>
                <w:color w:val="auto"/>
                <w:kern w:val="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638" w:type="dxa"/>
            <w:tcBorders>
              <w:top w:val="single" w:color="auto" w:sz="4" w:space="0"/>
              <w:left w:val="single" w:color="auto" w:sz="4" w:space="0"/>
              <w:bottom w:val="single" w:color="auto" w:sz="4" w:space="0"/>
              <w:right w:val="single" w:color="auto" w:sz="4" w:space="0"/>
            </w:tcBorders>
            <w:noWrap/>
            <w:vAlign w:val="center"/>
          </w:tcPr>
          <w:p w14:paraId="185EEBAA">
            <w:pPr>
              <w:jc w:val="center"/>
              <w:rPr>
                <w:rFonts w:hint="default" w:ascii="Times New Roman" w:hAnsi="Times New Roman" w:eastAsia="仿宋" w:cs="Times New Roman"/>
                <w:b w:val="0"/>
                <w:bCs/>
                <w:color w:val="auto"/>
                <w:kern w:val="0"/>
                <w:sz w:val="21"/>
                <w:szCs w:val="21"/>
                <w:highlight w:val="none"/>
              </w:rPr>
            </w:pPr>
          </w:p>
        </w:tc>
        <w:tc>
          <w:tcPr>
            <w:tcW w:w="1065" w:type="dxa"/>
            <w:vMerge w:val="continue"/>
            <w:tcBorders>
              <w:left w:val="single" w:color="auto" w:sz="4" w:space="0"/>
              <w:right w:val="single" w:color="auto" w:sz="4" w:space="0"/>
            </w:tcBorders>
            <w:noWrap/>
            <w:vAlign w:val="center"/>
          </w:tcPr>
          <w:p w14:paraId="22580469">
            <w:pPr>
              <w:jc w:val="center"/>
              <w:rPr>
                <w:rFonts w:hint="default" w:ascii="Times New Roman" w:hAnsi="Times New Roman" w:eastAsia="仿宋" w:cs="Times New Roman"/>
                <w:b w:val="0"/>
                <w:bCs/>
                <w:color w:val="auto"/>
                <w:kern w:val="0"/>
                <w:sz w:val="21"/>
                <w:szCs w:val="21"/>
                <w:highlight w:val="none"/>
              </w:rPr>
            </w:pPr>
          </w:p>
        </w:tc>
      </w:tr>
      <w:tr w14:paraId="4ABFB434">
        <w:tblPrEx>
          <w:tblCellMar>
            <w:top w:w="0" w:type="dxa"/>
            <w:left w:w="108" w:type="dxa"/>
            <w:bottom w:w="0" w:type="dxa"/>
            <w:right w:w="108" w:type="dxa"/>
          </w:tblCellMar>
        </w:tblPrEx>
        <w:trPr>
          <w:trHeight w:val="57" w:hRule="atLeast"/>
          <w:jc w:val="center"/>
        </w:trPr>
        <w:tc>
          <w:tcPr>
            <w:tcW w:w="1787" w:type="dxa"/>
            <w:tcBorders>
              <w:top w:val="single" w:color="auto" w:sz="4" w:space="0"/>
              <w:left w:val="single" w:color="auto" w:sz="4" w:space="0"/>
              <w:bottom w:val="single" w:color="auto" w:sz="4" w:space="0"/>
              <w:right w:val="single" w:color="auto" w:sz="4" w:space="0"/>
            </w:tcBorders>
            <w:noWrap/>
            <w:vAlign w:val="center"/>
          </w:tcPr>
          <w:p w14:paraId="7573BBCE">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2030</w:t>
            </w:r>
            <w:r>
              <w:rPr>
                <w:rFonts w:hint="eastAsia" w:ascii="仿宋" w:hAnsi="仿宋" w:eastAsia="仿宋" w:cs="仿宋"/>
                <w:i w:val="0"/>
                <w:iCs w:val="0"/>
                <w:color w:val="000000"/>
                <w:kern w:val="0"/>
                <w:sz w:val="21"/>
                <w:szCs w:val="21"/>
                <w:u w:val="none"/>
                <w:lang w:val="en-US" w:eastAsia="zh-CN" w:bidi="ar"/>
              </w:rPr>
              <w:t>年至</w:t>
            </w:r>
            <w:r>
              <w:rPr>
                <w:rFonts w:hint="default" w:ascii="Times New Roman" w:hAnsi="Times New Roman" w:eastAsia="宋体" w:cs="Times New Roman"/>
                <w:i w:val="0"/>
                <w:iCs w:val="0"/>
                <w:color w:val="000000"/>
                <w:kern w:val="0"/>
                <w:sz w:val="21"/>
                <w:szCs w:val="21"/>
                <w:u w:val="none"/>
                <w:lang w:val="en-US" w:eastAsia="zh-CN" w:bidi="ar"/>
              </w:rPr>
              <w:t>2032</w:t>
            </w:r>
            <w:r>
              <w:rPr>
                <w:rFonts w:hint="eastAsia" w:ascii="仿宋" w:hAnsi="仿宋" w:eastAsia="仿宋" w:cs="仿宋"/>
                <w:i w:val="0"/>
                <w:iCs w:val="0"/>
                <w:color w:val="000000"/>
                <w:kern w:val="0"/>
                <w:sz w:val="21"/>
                <w:szCs w:val="21"/>
                <w:u w:val="none"/>
                <w:lang w:val="en-US" w:eastAsia="zh-CN" w:bidi="ar"/>
              </w:rPr>
              <w:t>年</w:t>
            </w:r>
          </w:p>
        </w:tc>
        <w:tc>
          <w:tcPr>
            <w:tcW w:w="2032" w:type="dxa"/>
            <w:tcBorders>
              <w:top w:val="single" w:color="auto" w:sz="4" w:space="0"/>
              <w:left w:val="single" w:color="auto" w:sz="4" w:space="0"/>
              <w:bottom w:val="single" w:color="auto" w:sz="4" w:space="0"/>
              <w:right w:val="single" w:color="auto" w:sz="4" w:space="0"/>
            </w:tcBorders>
            <w:noWrap/>
            <w:vAlign w:val="center"/>
          </w:tcPr>
          <w:p w14:paraId="13E4E2EE">
            <w:pPr>
              <w:jc w:val="center"/>
              <w:rPr>
                <w:rFonts w:hint="default" w:ascii="Times New Roman" w:hAnsi="Times New Roman" w:eastAsia="仿宋" w:cs="Times New Roman"/>
                <w:b w:val="0"/>
                <w:bCs/>
                <w:color w:val="auto"/>
                <w:kern w:val="0"/>
                <w:sz w:val="21"/>
                <w:szCs w:val="21"/>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top"/>
          </w:tcPr>
          <w:p w14:paraId="0B288611">
            <w:pPr>
              <w:keepNext w:val="0"/>
              <w:keepLines w:val="0"/>
              <w:widowControl/>
              <w:suppressLineNumbers w:val="0"/>
              <w:jc w:val="center"/>
              <w:textAlignment w:val="top"/>
              <w:rPr>
                <w:rFonts w:hint="default" w:ascii="Times New Roman" w:hAnsi="Times New Roman" w:eastAsia="仿宋" w:cs="Times New Roman"/>
                <w:b w:val="0"/>
                <w:bCs/>
                <w:color w:val="auto"/>
                <w:kern w:val="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638" w:type="dxa"/>
            <w:tcBorders>
              <w:top w:val="single" w:color="auto" w:sz="4" w:space="0"/>
              <w:left w:val="single" w:color="auto" w:sz="4" w:space="0"/>
              <w:bottom w:val="single" w:color="auto" w:sz="4" w:space="0"/>
              <w:right w:val="single" w:color="auto" w:sz="4" w:space="0"/>
            </w:tcBorders>
            <w:noWrap/>
            <w:vAlign w:val="center"/>
          </w:tcPr>
          <w:p w14:paraId="3EB33CED">
            <w:pPr>
              <w:jc w:val="center"/>
              <w:rPr>
                <w:rFonts w:hint="default" w:ascii="Times New Roman" w:hAnsi="Times New Roman" w:eastAsia="仿宋" w:cs="Times New Roman"/>
                <w:b w:val="0"/>
                <w:bCs/>
                <w:color w:val="auto"/>
                <w:kern w:val="0"/>
                <w:sz w:val="21"/>
                <w:szCs w:val="21"/>
                <w:highlight w:val="none"/>
              </w:rPr>
            </w:pPr>
          </w:p>
        </w:tc>
        <w:tc>
          <w:tcPr>
            <w:tcW w:w="1065" w:type="dxa"/>
            <w:vMerge w:val="continue"/>
            <w:tcBorders>
              <w:left w:val="single" w:color="auto" w:sz="4" w:space="0"/>
              <w:right w:val="single" w:color="auto" w:sz="4" w:space="0"/>
            </w:tcBorders>
            <w:noWrap/>
            <w:vAlign w:val="center"/>
          </w:tcPr>
          <w:p w14:paraId="4EE678DD">
            <w:pPr>
              <w:jc w:val="center"/>
              <w:rPr>
                <w:rFonts w:hint="default" w:ascii="Times New Roman" w:hAnsi="Times New Roman" w:eastAsia="仿宋" w:cs="Times New Roman"/>
                <w:b w:val="0"/>
                <w:bCs/>
                <w:color w:val="auto"/>
                <w:kern w:val="0"/>
                <w:sz w:val="21"/>
                <w:szCs w:val="21"/>
                <w:highlight w:val="none"/>
              </w:rPr>
            </w:pPr>
          </w:p>
        </w:tc>
      </w:tr>
      <w:tr w14:paraId="1262BB74">
        <w:tblPrEx>
          <w:tblCellMar>
            <w:top w:w="0" w:type="dxa"/>
            <w:left w:w="108" w:type="dxa"/>
            <w:bottom w:w="0" w:type="dxa"/>
            <w:right w:w="108" w:type="dxa"/>
          </w:tblCellMar>
        </w:tblPrEx>
        <w:trPr>
          <w:trHeight w:val="57" w:hRule="atLeast"/>
          <w:jc w:val="center"/>
        </w:trPr>
        <w:tc>
          <w:tcPr>
            <w:tcW w:w="1787" w:type="dxa"/>
            <w:tcBorders>
              <w:top w:val="single" w:color="auto" w:sz="4" w:space="0"/>
              <w:left w:val="single" w:color="auto" w:sz="4" w:space="0"/>
              <w:bottom w:val="single" w:color="auto" w:sz="4" w:space="0"/>
              <w:right w:val="single" w:color="auto" w:sz="4" w:space="0"/>
            </w:tcBorders>
            <w:noWrap/>
            <w:vAlign w:val="center"/>
          </w:tcPr>
          <w:p w14:paraId="1210930C">
            <w:pPr>
              <w:keepNext w:val="0"/>
              <w:keepLines w:val="0"/>
              <w:widowControl/>
              <w:suppressLineNumbers w:val="0"/>
              <w:jc w:val="center"/>
              <w:textAlignment w:val="center"/>
              <w:rPr>
                <w:rFonts w:hint="default" w:ascii="Times New Roman" w:hAnsi="Times New Roman" w:eastAsia="仿宋" w:cs="Times New Roman"/>
                <w:b w:val="0"/>
                <w:bCs/>
                <w:color w:val="auto"/>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2032</w:t>
            </w:r>
            <w:r>
              <w:rPr>
                <w:rFonts w:hint="eastAsia" w:ascii="仿宋" w:hAnsi="仿宋" w:eastAsia="仿宋" w:cs="仿宋"/>
                <w:i w:val="0"/>
                <w:iCs w:val="0"/>
                <w:color w:val="000000"/>
                <w:kern w:val="0"/>
                <w:sz w:val="21"/>
                <w:szCs w:val="21"/>
                <w:u w:val="none"/>
                <w:lang w:val="en-US" w:eastAsia="zh-CN" w:bidi="ar"/>
              </w:rPr>
              <w:t>年至</w:t>
            </w:r>
            <w:r>
              <w:rPr>
                <w:rFonts w:hint="default" w:ascii="Times New Roman" w:hAnsi="Times New Roman" w:eastAsia="宋体" w:cs="Times New Roman"/>
                <w:i w:val="0"/>
                <w:iCs w:val="0"/>
                <w:color w:val="000000"/>
                <w:kern w:val="0"/>
                <w:sz w:val="21"/>
                <w:szCs w:val="21"/>
                <w:u w:val="none"/>
                <w:lang w:val="en-US" w:eastAsia="zh-CN" w:bidi="ar"/>
              </w:rPr>
              <w:t>2034</w:t>
            </w:r>
            <w:r>
              <w:rPr>
                <w:rFonts w:hint="eastAsia" w:ascii="仿宋" w:hAnsi="仿宋" w:eastAsia="仿宋" w:cs="仿宋"/>
                <w:i w:val="0"/>
                <w:iCs w:val="0"/>
                <w:color w:val="000000"/>
                <w:kern w:val="0"/>
                <w:sz w:val="21"/>
                <w:szCs w:val="21"/>
                <w:u w:val="none"/>
                <w:lang w:val="en-US" w:eastAsia="zh-CN" w:bidi="ar"/>
              </w:rPr>
              <w:t>年</w:t>
            </w:r>
          </w:p>
        </w:tc>
        <w:tc>
          <w:tcPr>
            <w:tcW w:w="2032" w:type="dxa"/>
            <w:tcBorders>
              <w:top w:val="single" w:color="auto" w:sz="4" w:space="0"/>
              <w:left w:val="single" w:color="auto" w:sz="4" w:space="0"/>
              <w:bottom w:val="single" w:color="auto" w:sz="4" w:space="0"/>
              <w:right w:val="single" w:color="auto" w:sz="4" w:space="0"/>
            </w:tcBorders>
            <w:noWrap/>
            <w:vAlign w:val="center"/>
          </w:tcPr>
          <w:p w14:paraId="078E58B0">
            <w:pPr>
              <w:jc w:val="center"/>
              <w:rPr>
                <w:rFonts w:hint="default" w:ascii="Times New Roman" w:hAnsi="Times New Roman" w:eastAsia="仿宋" w:cs="Times New Roman"/>
                <w:b w:val="0"/>
                <w:bCs/>
                <w:color w:val="auto"/>
                <w:kern w:val="0"/>
                <w:sz w:val="21"/>
                <w:szCs w:val="21"/>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top"/>
          </w:tcPr>
          <w:p w14:paraId="08F37974">
            <w:pPr>
              <w:keepNext w:val="0"/>
              <w:keepLines w:val="0"/>
              <w:widowControl/>
              <w:suppressLineNumbers w:val="0"/>
              <w:jc w:val="center"/>
              <w:textAlignment w:val="top"/>
              <w:rPr>
                <w:rFonts w:hint="default" w:ascii="Times New Roman" w:hAnsi="Times New Roman" w:eastAsia="仿宋" w:cs="Times New Roman"/>
                <w:b w:val="0"/>
                <w:bCs/>
                <w:color w:val="auto"/>
                <w:kern w:val="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638" w:type="dxa"/>
            <w:tcBorders>
              <w:top w:val="single" w:color="auto" w:sz="4" w:space="0"/>
              <w:left w:val="single" w:color="auto" w:sz="4" w:space="0"/>
              <w:bottom w:val="single" w:color="auto" w:sz="4" w:space="0"/>
              <w:right w:val="single" w:color="auto" w:sz="4" w:space="0"/>
            </w:tcBorders>
            <w:noWrap/>
            <w:vAlign w:val="center"/>
          </w:tcPr>
          <w:p w14:paraId="0D722BF1">
            <w:pPr>
              <w:jc w:val="center"/>
              <w:rPr>
                <w:rFonts w:hint="default" w:ascii="Times New Roman" w:hAnsi="Times New Roman" w:eastAsia="仿宋" w:cs="Times New Roman"/>
                <w:b w:val="0"/>
                <w:bCs/>
                <w:color w:val="auto"/>
                <w:kern w:val="0"/>
                <w:sz w:val="21"/>
                <w:szCs w:val="21"/>
                <w:highlight w:val="none"/>
              </w:rPr>
            </w:pPr>
          </w:p>
        </w:tc>
        <w:tc>
          <w:tcPr>
            <w:tcW w:w="1065" w:type="dxa"/>
            <w:vMerge w:val="continue"/>
            <w:tcBorders>
              <w:left w:val="single" w:color="auto" w:sz="4" w:space="0"/>
              <w:right w:val="single" w:color="auto" w:sz="4" w:space="0"/>
            </w:tcBorders>
            <w:noWrap/>
            <w:vAlign w:val="center"/>
          </w:tcPr>
          <w:p w14:paraId="6B1E3A2A">
            <w:pPr>
              <w:jc w:val="center"/>
              <w:rPr>
                <w:rFonts w:hint="default" w:ascii="Times New Roman" w:hAnsi="Times New Roman" w:eastAsia="仿宋" w:cs="Times New Roman"/>
                <w:b w:val="0"/>
                <w:bCs/>
                <w:color w:val="auto"/>
                <w:kern w:val="0"/>
                <w:sz w:val="21"/>
                <w:szCs w:val="21"/>
                <w:highlight w:val="none"/>
              </w:rPr>
            </w:pPr>
          </w:p>
        </w:tc>
      </w:tr>
      <w:tr w14:paraId="3C928D24">
        <w:tblPrEx>
          <w:tblCellMar>
            <w:top w:w="0" w:type="dxa"/>
            <w:left w:w="108" w:type="dxa"/>
            <w:bottom w:w="0" w:type="dxa"/>
            <w:right w:w="108" w:type="dxa"/>
          </w:tblCellMar>
        </w:tblPrEx>
        <w:trPr>
          <w:trHeight w:val="57" w:hRule="atLeast"/>
          <w:jc w:val="center"/>
        </w:trPr>
        <w:tc>
          <w:tcPr>
            <w:tcW w:w="1787" w:type="dxa"/>
            <w:tcBorders>
              <w:top w:val="single" w:color="auto" w:sz="4" w:space="0"/>
              <w:left w:val="single" w:color="auto" w:sz="4" w:space="0"/>
              <w:bottom w:val="single" w:color="auto" w:sz="4" w:space="0"/>
              <w:right w:val="single" w:color="auto" w:sz="4" w:space="0"/>
            </w:tcBorders>
            <w:noWrap/>
            <w:vAlign w:val="center"/>
          </w:tcPr>
          <w:p w14:paraId="1AFEFF12">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2034</w:t>
            </w:r>
            <w:r>
              <w:rPr>
                <w:rFonts w:hint="eastAsia" w:ascii="仿宋" w:hAnsi="仿宋" w:eastAsia="仿宋" w:cs="仿宋"/>
                <w:i w:val="0"/>
                <w:iCs w:val="0"/>
                <w:color w:val="000000"/>
                <w:kern w:val="0"/>
                <w:sz w:val="21"/>
                <w:szCs w:val="21"/>
                <w:u w:val="none"/>
                <w:lang w:val="en-US" w:eastAsia="zh-CN" w:bidi="ar"/>
              </w:rPr>
              <w:t>年至</w:t>
            </w:r>
            <w:r>
              <w:rPr>
                <w:rFonts w:hint="default" w:ascii="Times New Roman" w:hAnsi="Times New Roman" w:eastAsia="宋体" w:cs="Times New Roman"/>
                <w:i w:val="0"/>
                <w:iCs w:val="0"/>
                <w:color w:val="000000"/>
                <w:kern w:val="0"/>
                <w:sz w:val="21"/>
                <w:szCs w:val="21"/>
                <w:u w:val="none"/>
                <w:lang w:val="en-US" w:eastAsia="zh-CN" w:bidi="ar"/>
              </w:rPr>
              <w:t>2036</w:t>
            </w:r>
            <w:r>
              <w:rPr>
                <w:rFonts w:hint="eastAsia" w:ascii="仿宋" w:hAnsi="仿宋" w:eastAsia="仿宋" w:cs="仿宋"/>
                <w:i w:val="0"/>
                <w:iCs w:val="0"/>
                <w:color w:val="000000"/>
                <w:kern w:val="0"/>
                <w:sz w:val="21"/>
                <w:szCs w:val="21"/>
                <w:u w:val="none"/>
                <w:lang w:val="en-US" w:eastAsia="zh-CN" w:bidi="ar"/>
              </w:rPr>
              <w:t>年</w:t>
            </w:r>
          </w:p>
        </w:tc>
        <w:tc>
          <w:tcPr>
            <w:tcW w:w="2032" w:type="dxa"/>
            <w:tcBorders>
              <w:top w:val="single" w:color="auto" w:sz="4" w:space="0"/>
              <w:left w:val="single" w:color="auto" w:sz="4" w:space="0"/>
              <w:bottom w:val="single" w:color="auto" w:sz="4" w:space="0"/>
              <w:right w:val="single" w:color="auto" w:sz="4" w:space="0"/>
            </w:tcBorders>
            <w:noWrap/>
            <w:vAlign w:val="center"/>
          </w:tcPr>
          <w:p w14:paraId="154A92A3">
            <w:pPr>
              <w:jc w:val="center"/>
            </w:pPr>
          </w:p>
        </w:tc>
        <w:tc>
          <w:tcPr>
            <w:tcW w:w="1289" w:type="dxa"/>
            <w:tcBorders>
              <w:top w:val="single" w:color="auto" w:sz="4" w:space="0"/>
              <w:left w:val="single" w:color="auto" w:sz="4" w:space="0"/>
              <w:bottom w:val="single" w:color="auto" w:sz="4" w:space="0"/>
              <w:right w:val="single" w:color="auto" w:sz="4" w:space="0"/>
            </w:tcBorders>
            <w:noWrap/>
            <w:vAlign w:val="top"/>
          </w:tcPr>
          <w:p w14:paraId="00B61922">
            <w:pPr>
              <w:keepNext w:val="0"/>
              <w:keepLines w:val="0"/>
              <w:widowControl/>
              <w:suppressLineNumbers w:val="0"/>
              <w:jc w:val="center"/>
              <w:textAlignment w:val="top"/>
            </w:pPr>
            <w:r>
              <w:rPr>
                <w:rFonts w:hint="default" w:ascii="Times New Roman" w:hAnsi="Times New Roman" w:eastAsia="宋体" w:cs="Times New Roman"/>
                <w:i w:val="0"/>
                <w:iCs w:val="0"/>
                <w:color w:val="000000"/>
                <w:kern w:val="0"/>
                <w:sz w:val="21"/>
                <w:szCs w:val="21"/>
                <w:u w:val="none"/>
                <w:lang w:val="en-US" w:eastAsia="zh-CN" w:bidi="ar"/>
              </w:rPr>
              <w:t>3</w:t>
            </w:r>
          </w:p>
        </w:tc>
        <w:tc>
          <w:tcPr>
            <w:tcW w:w="2638" w:type="dxa"/>
            <w:tcBorders>
              <w:top w:val="single" w:color="auto" w:sz="4" w:space="0"/>
              <w:left w:val="single" w:color="auto" w:sz="4" w:space="0"/>
              <w:bottom w:val="single" w:color="auto" w:sz="4" w:space="0"/>
              <w:right w:val="single" w:color="auto" w:sz="4" w:space="0"/>
            </w:tcBorders>
            <w:noWrap/>
            <w:vAlign w:val="center"/>
          </w:tcPr>
          <w:p w14:paraId="4A689C71">
            <w:pPr>
              <w:jc w:val="center"/>
            </w:pPr>
          </w:p>
        </w:tc>
        <w:tc>
          <w:tcPr>
            <w:tcW w:w="1065" w:type="dxa"/>
            <w:vMerge w:val="continue"/>
            <w:tcBorders>
              <w:left w:val="single" w:color="auto" w:sz="4" w:space="0"/>
              <w:bottom w:val="single" w:color="auto" w:sz="4" w:space="0"/>
              <w:right w:val="single" w:color="auto" w:sz="4" w:space="0"/>
            </w:tcBorders>
            <w:noWrap/>
            <w:vAlign w:val="center"/>
          </w:tcPr>
          <w:p w14:paraId="0269CF97">
            <w:pPr>
              <w:jc w:val="center"/>
            </w:pPr>
          </w:p>
        </w:tc>
      </w:tr>
      <w:tr w14:paraId="5C6DB310">
        <w:tblPrEx>
          <w:tblCellMar>
            <w:top w:w="0" w:type="dxa"/>
            <w:left w:w="108" w:type="dxa"/>
            <w:bottom w:w="0" w:type="dxa"/>
            <w:right w:w="108" w:type="dxa"/>
          </w:tblCellMar>
        </w:tblPrEx>
        <w:trPr>
          <w:trHeight w:val="90" w:hRule="atLeast"/>
          <w:jc w:val="center"/>
        </w:trPr>
        <w:tc>
          <w:tcPr>
            <w:tcW w:w="8811" w:type="dxa"/>
            <w:gridSpan w:val="5"/>
            <w:tcBorders>
              <w:top w:val="single" w:color="auto" w:sz="4" w:space="0"/>
              <w:left w:val="single" w:color="auto" w:sz="4" w:space="0"/>
              <w:bottom w:val="single" w:color="auto" w:sz="4" w:space="0"/>
              <w:right w:val="single" w:color="auto" w:sz="4" w:space="0"/>
            </w:tcBorders>
            <w:noWrap/>
            <w:vAlign w:val="center"/>
          </w:tcPr>
          <w:p w14:paraId="07A0F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合同总金额为：</w:t>
            </w:r>
            <w:r>
              <w:rPr>
                <w:rFonts w:hint="default"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元，其中：不含税金额为：</w:t>
            </w:r>
            <w:r>
              <w:rPr>
                <w:rFonts w:hint="default"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元，税费为：</w:t>
            </w:r>
            <w:r>
              <w:rPr>
                <w:rFonts w:hint="default"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上述租金租期内首年减半收取，不包括乙方须支付之物业管理费及乙方使用该租赁物业而产生的其他所有费用。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（三）乙方应当承担租期</w:t>
      </w:r>
      <w:r>
        <w:rPr>
          <w:rFonts w:hint="eastAsia" w:eastAsia="仿宋" w:cs="Times New Roman"/>
          <w:bCs/>
          <w:color w:val="auto"/>
          <w:sz w:val="28"/>
          <w:szCs w:val="28"/>
          <w:highlight w:val="none"/>
          <w:lang w:val="en-US" w:eastAsia="zh-CN"/>
        </w:rPr>
        <w:t>内</w:t>
      </w:r>
      <w:r>
        <w:rPr>
          <w:rFonts w:hint="default" w:ascii="Times New Roman" w:hAnsi="Times New Roman" w:eastAsia="仿宋" w:cs="Times New Roman"/>
          <w:bCs/>
          <w:color w:val="auto"/>
          <w:sz w:val="28"/>
          <w:szCs w:val="28"/>
          <w:highlight w:val="none"/>
        </w:rPr>
        <w:t>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5</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及履约保障金</w:t>
      </w:r>
      <w:r>
        <w:rPr>
          <w:rFonts w:hint="default" w:ascii="Times New Roman" w:hAnsi="Times New Roman" w:eastAsia="仿宋" w:cs="Times New Roman"/>
          <w:bCs/>
          <w:color w:val="auto"/>
          <w:sz w:val="28"/>
          <w:szCs w:val="28"/>
          <w:highlight w:val="none"/>
        </w:rPr>
        <w:t>交至甲方指定以下银行账户：</w:t>
      </w:r>
    </w:p>
    <w:p w14:paraId="3D2F1E1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账户名称：惠州交投利臻置业有限公司</w:t>
      </w:r>
    </w:p>
    <w:p w14:paraId="28A62300">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银行账号：4405 0171 8735 0000 1064</w:t>
      </w:r>
    </w:p>
    <w:p w14:paraId="2CA7A0EB">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开户行：中国建设银行股份有限公司惠州江北支行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69775EE8">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hint="default" w:eastAsia="仿宋"/>
          <w:bCs/>
          <w:color w:val="auto"/>
          <w:sz w:val="28"/>
          <w:szCs w:val="28"/>
          <w:highlight w:val="none"/>
        </w:rPr>
        <w:t>甲方在签订本合同</w:t>
      </w:r>
      <w:r>
        <w:rPr>
          <w:rFonts w:hint="eastAsia" w:eastAsia="仿宋"/>
          <w:bCs/>
          <w:color w:val="auto"/>
          <w:sz w:val="28"/>
          <w:szCs w:val="28"/>
          <w:highlight w:val="none"/>
          <w:lang w:val="en-US" w:eastAsia="zh-CN"/>
        </w:rPr>
        <w:t>当日</w:t>
      </w:r>
      <w:r>
        <w:rPr>
          <w:rFonts w:hint="default" w:eastAsia="仿宋"/>
          <w:bCs/>
          <w:color w:val="auto"/>
          <w:sz w:val="28"/>
          <w:szCs w:val="28"/>
          <w:highlight w:val="none"/>
        </w:rPr>
        <w:t>按</w:t>
      </w:r>
      <w:r>
        <w:rPr>
          <w:rFonts w:hint="default" w:eastAsia="仿宋"/>
          <w:bCs/>
          <w:color w:val="auto"/>
          <w:sz w:val="28"/>
          <w:szCs w:val="28"/>
          <w:highlight w:val="none"/>
          <w:lang w:eastAsia="zh-CN"/>
        </w:rPr>
        <w:t>租赁标的</w:t>
      </w:r>
      <w:r>
        <w:rPr>
          <w:rFonts w:hint="default" w:eastAsia="仿宋"/>
          <w:bCs/>
          <w:color w:val="auto"/>
          <w:sz w:val="28"/>
          <w:szCs w:val="28"/>
          <w:highlight w:val="none"/>
        </w:rPr>
        <w:t>的现状交付给乙方，乙方</w:t>
      </w:r>
      <w:r>
        <w:rPr>
          <w:rFonts w:hint="eastAsia" w:eastAsia="仿宋"/>
          <w:bCs/>
          <w:color w:val="auto"/>
          <w:sz w:val="28"/>
          <w:szCs w:val="28"/>
          <w:highlight w:val="none"/>
          <w:lang w:val="en-US" w:eastAsia="zh-CN"/>
        </w:rPr>
        <w:t>应当在报名参与竞价前已对租赁标的的位置、面积、结构、附属设施及现有状况进行了充分查验，并予以接受。</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（二）甲乙双方应当协助、配合有关部门做好房屋租赁、房屋安全、消防安全、治安及生产销售伪劣商品的查处工作。</w:t>
      </w:r>
    </w:p>
    <w:p w14:paraId="7CC23B5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15AF24F9">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02A5C124">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6CA3A604">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56F7B41">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5238CE09">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639D80C8">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0D835A23">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F147BCF">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47FED896">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w:t>
      </w:r>
    </w:p>
    <w:p w14:paraId="7418A53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（二）因使用该房屋，乙方应按政府规定交纳相应的费用。</w:t>
      </w:r>
    </w:p>
    <w:p w14:paraId="382AE791">
      <w:pPr>
        <w:pStyle w:val="9"/>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125418E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25C6E185">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46572942">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104CF41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25BC817C">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9088E88">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4E71DFC5">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4CF9FF15">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63FC8D01">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，广告牌内容须经甲方审核，</w:t>
      </w:r>
      <w:r>
        <w:rPr>
          <w:rFonts w:hint="eastAsia" w:ascii="仿宋" w:hAnsi="仿宋" w:eastAsia="仿宋" w:cs="宋体"/>
          <w:color w:val="auto"/>
          <w:kern w:val="0"/>
          <w:sz w:val="28"/>
          <w:szCs w:val="28"/>
          <w:highlight w:val="none"/>
        </w:rPr>
        <w:t>对不符合国家法律法规及政府相关规定安装的，甲方有权要求乙方拆除。</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159902EF">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783687C2">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C3FF48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135433E7">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89BC33">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eastAsia" w:eastAsia="仿宋" w:cs="Times New Roman"/>
          <w:color w:val="auto"/>
          <w:kern w:val="0"/>
          <w:sz w:val="28"/>
          <w:szCs w:val="28"/>
          <w:highlight w:val="none"/>
          <w:u w:val="single"/>
          <w:lang w:val="en-US" w:eastAsia="zh-CN"/>
        </w:rPr>
        <w:t>商业</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0255F26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618C30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3EC383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w:t>
      </w:r>
      <w:r>
        <w:rPr>
          <w:rFonts w:hint="default" w:ascii="Times New Roman" w:hAnsi="Times New Roman" w:eastAsia="仿宋" w:cs="Times New Roman"/>
          <w:color w:val="auto"/>
          <w:sz w:val="28"/>
          <w:szCs w:val="28"/>
          <w:highlight w:val="none"/>
          <w:lang w:val="en-US"/>
        </w:rPr>
        <w:t>违约金</w:t>
      </w:r>
      <w:r>
        <w:rPr>
          <w:rFonts w:hint="default" w:ascii="Times New Roman" w:hAnsi="Times New Roman" w:eastAsia="仿宋" w:cs="Times New Roman"/>
          <w:color w:val="auto"/>
          <w:sz w:val="28"/>
          <w:szCs w:val="28"/>
          <w:highlight w:val="none"/>
        </w:rPr>
        <w:t>），甲方有权在退保证金时扣除，若保证金不足以扣减，则乙方需继续补交。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796CED41">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78578331">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rPr>
        <w:t>资产出租后，</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方不得擅自转租。因特殊情况确需转租的，</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方应向</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提出书面申请</w:t>
      </w:r>
      <w:r>
        <w:rPr>
          <w:rFonts w:hint="eastAsia" w:eastAsia="仿宋" w:cs="Times New Roman"/>
          <w:bCs/>
          <w:color w:val="auto"/>
          <w:kern w:val="2"/>
          <w:sz w:val="28"/>
          <w:szCs w:val="28"/>
          <w:highlight w:val="none"/>
          <w:lang w:val="en-US" w:eastAsia="zh-CN"/>
        </w:rPr>
        <w:t>，经甲方</w:t>
      </w:r>
      <w:r>
        <w:rPr>
          <w:rFonts w:hint="default" w:ascii="Times New Roman" w:hAnsi="Times New Roman" w:eastAsia="仿宋" w:cs="Times New Roman"/>
          <w:bCs/>
          <w:color w:val="auto"/>
          <w:kern w:val="2"/>
          <w:sz w:val="28"/>
          <w:szCs w:val="28"/>
          <w:highlight w:val="none"/>
          <w:lang w:val="en-US" w:eastAsia="zh-CN"/>
        </w:rPr>
        <w:t>同意后方可转租。转租合同内容必须事先征得</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同意，否则不得转租。以非公开协议方式承租的资产，一律不允许转租。</w:t>
      </w:r>
    </w:p>
    <w:p w14:paraId="7325DEDB">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7CAC522F">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4C6041E9">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1161D024">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2BBF0AB3">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2C9AA6B">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1EF99683">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w:t>
      </w:r>
      <w:r>
        <w:rPr>
          <w:rFonts w:hint="default" w:ascii="Times New Roman" w:hAnsi="Times New Roman" w:eastAsia="仿宋" w:cs="Times New Roman"/>
          <w:b w:val="0"/>
          <w:bCs w:val="0"/>
          <w:color w:val="auto"/>
          <w:sz w:val="28"/>
          <w:szCs w:val="28"/>
          <w:highlight w:val="none"/>
        </w:rPr>
        <w:t>。</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64F016BB">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7383FD13">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15621175">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79AB8B4A">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4080C4CB">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1B9F0A7E">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5E6F6C0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27FD79D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39328B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26DEF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4A9F96F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w:t>
      </w:r>
    </w:p>
    <w:p w14:paraId="444F7837">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、在承租物业的范围内新增违法建设的；</w:t>
      </w:r>
    </w:p>
    <w:p w14:paraId="009137A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或累计欠付租金达（）元的</w:t>
      </w:r>
      <w:r>
        <w:rPr>
          <w:rFonts w:hint="default" w:ascii="Times New Roman" w:hAnsi="Times New Roman" w:eastAsia="仿宋" w:cs="Times New Roman"/>
          <w:color w:val="auto"/>
          <w:sz w:val="28"/>
          <w:szCs w:val="28"/>
          <w:highlight w:val="none"/>
        </w:rPr>
        <w:t>；</w:t>
      </w:r>
    </w:p>
    <w:p w14:paraId="3A30722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4367CAB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13BE6D7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039A5657">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0906C87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eastAsia="仿宋" w:cs="Times New Roman"/>
          <w:color w:val="auto"/>
          <w:sz w:val="28"/>
          <w:szCs w:val="28"/>
          <w:highlight w:val="none"/>
          <w:lang w:val="en-US" w:eastAsia="zh-CN"/>
        </w:rPr>
        <w:t>违约金</w:t>
      </w:r>
      <w:r>
        <w:rPr>
          <w:rFonts w:hint="default" w:ascii="Times New Roman" w:hAnsi="Times New Roman" w:eastAsia="仿宋" w:cs="Times New Roman"/>
          <w:color w:val="auto"/>
          <w:sz w:val="28"/>
          <w:szCs w:val="28"/>
          <w:highlight w:val="none"/>
        </w:rPr>
        <w:t>。</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），视为乙方违约，直至乙方缴清上述款项为止。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eastAsia" w:ascii="Times New Roman" w:hAnsi="Times New Roman" w:eastAsia="仿宋"/>
          <w:color w:val="auto"/>
          <w:sz w:val="28"/>
          <w:szCs w:val="28"/>
          <w:highlight w:val="none"/>
        </w:rPr>
        <w:t>）</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6E47DFA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w:t>
      </w:r>
      <w:r>
        <w:rPr>
          <w:rFonts w:hint="default" w:eastAsia="仿宋" w:cs="Times New Roman"/>
          <w:color w:val="auto"/>
          <w:sz w:val="28"/>
          <w:szCs w:val="28"/>
          <w:highlight w:val="none"/>
          <w:lang w:val="en-US" w:eastAsia="zh-CN"/>
        </w:rPr>
        <w:t>且</w:t>
      </w:r>
      <w:r>
        <w:rPr>
          <w:rFonts w:hint="default" w:ascii="Times New Roman" w:hAnsi="Times New Roman" w:eastAsia="仿宋" w:cs="Times New Roman"/>
          <w:color w:val="auto"/>
          <w:sz w:val="28"/>
          <w:szCs w:val="28"/>
          <w:highlight w:val="none"/>
        </w:rPr>
        <w:t>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115337E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rPr>
        <w:t>）在履行本合同过程中，任何一方违约，守约方进行维权过程中发生的一切费用（包括但不限于诉讼费、仲裁费、保全费、律师服务费等）全部由违约方承担。</w:t>
      </w:r>
    </w:p>
    <w:p w14:paraId="5CC1500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6A099108">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2D71EB8B">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1F02F45C">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42FC9D4C">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0109B67C">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34DA1D7C">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41770A38">
      <w:pPr>
        <w:keepNext w:val="0"/>
        <w:keepLines w:val="0"/>
        <w:pageBreakBefore w:val="0"/>
        <w:numPr>
          <w:ilvl w:val="-1"/>
          <w:numId w:val="0"/>
        </w:numPr>
        <w:tabs>
          <w:tab w:val="left" w:pos="720"/>
        </w:tabs>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5FB3992">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3F43AEBC">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758B3853">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7E071DC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5B409251">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1D5E3962">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549D1A9A">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14FA2392">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447C9809">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4F29812F">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w:t>
      </w:r>
    </w:p>
    <w:p w14:paraId="43B29F69">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7A6C84E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1522220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14:paraId="6C303D9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55FB69F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6E5A86CF">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7B3697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0575390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2CA70E0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1426F63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72D680E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03E46A1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21A92B1F">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17033339">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12FFE36B">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714FC7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6663F18B">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2906D7E9">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份，甲方执</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w:t>
      </w:r>
      <w:r>
        <w:rPr>
          <w:rFonts w:hint="eastAsia" w:ascii="Times New Roman" w:hAnsi="Times New Roman" w:eastAsia="仿宋" w:cs="Times New Roman"/>
          <w:color w:val="auto"/>
          <w:kern w:val="28"/>
          <w:sz w:val="28"/>
          <w:szCs w:val="28"/>
          <w:highlight w:val="none"/>
          <w:lang w:val="en-US" w:eastAsia="zh-CN"/>
        </w:rPr>
        <w:t>，</w:t>
      </w:r>
      <w:r>
        <w:rPr>
          <w:rFonts w:hint="default" w:ascii="Times New Roman" w:hAnsi="Times New Roman" w:eastAsia="仿宋" w:cs="Times New Roman"/>
          <w:color w:val="auto"/>
          <w:kern w:val="28"/>
          <w:sz w:val="28"/>
          <w:szCs w:val="28"/>
          <w:highlight w:val="none"/>
          <w:lang w:val="en-US" w:eastAsia="zh-CN"/>
        </w:rPr>
        <w:t>乙方执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225BC1E8">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eastAsia="仿宋" w:cs="Times New Roman"/>
          <w:color w:val="auto"/>
          <w:sz w:val="28"/>
          <w:szCs w:val="28"/>
          <w:highlight w:val="none"/>
          <w:lang w:val="en-US" w:eastAsia="zh-CN"/>
        </w:rPr>
      </w:pPr>
    </w:p>
    <w:p w14:paraId="4278B845">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附件：物业租赁安全协议</w:t>
      </w:r>
    </w:p>
    <w:p w14:paraId="1D9EA33C">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0E37776">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67E1EEAE">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31450BFE">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380ACDA8">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3D9F400D">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23077428">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49B0545C">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87F6B0A">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182A6016">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CE49A78">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705F1776">
      <w:pPr>
        <w:keepNext w:val="0"/>
        <w:keepLines w:val="0"/>
        <w:pageBreakBefore w:val="0"/>
        <w:kinsoku/>
        <w:overflowPunct/>
        <w:topLinePunct w:val="0"/>
        <w:bidi w:val="0"/>
        <w:spacing w:before="0"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10A6F8E4">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2B500FE6">
      <w:pPr>
        <w:keepNext w:val="0"/>
        <w:keepLines w:val="0"/>
        <w:pageBreakBefore w:val="0"/>
        <w:kinsoku/>
        <w:overflowPunct/>
        <w:topLinePunct w:val="0"/>
        <w:bidi w:val="0"/>
        <w:spacing w:before="0" w:line="600" w:lineRule="exact"/>
        <w:rPr>
          <w:rFonts w:hint="default" w:ascii="Times New Roman" w:hAnsi="Times New Roman" w:eastAsia="仿宋" w:cs="Times New Roman"/>
          <w:color w:val="auto"/>
          <w:sz w:val="28"/>
          <w:szCs w:val="28"/>
          <w:highlight w:val="none"/>
        </w:rPr>
      </w:pPr>
    </w:p>
    <w:p w14:paraId="42424F7F">
      <w:pPr>
        <w:keepNext w:val="0"/>
        <w:keepLines w:val="0"/>
        <w:pageBreakBefore w:val="0"/>
        <w:kinsoku/>
        <w:overflowPunct/>
        <w:topLinePunct w:val="0"/>
        <w:bidi w:val="0"/>
        <w:spacing w:before="0" w:line="600" w:lineRule="exact"/>
        <w:rPr>
          <w:rFonts w:hint="default" w:ascii="Times New Roman" w:hAnsi="Times New Roman" w:eastAsia="仿宋" w:cs="Times New Roman"/>
          <w:color w:val="auto"/>
          <w:sz w:val="28"/>
          <w:szCs w:val="28"/>
          <w:highlight w:val="none"/>
        </w:rPr>
      </w:pPr>
    </w:p>
    <w:p w14:paraId="2DA4E279">
      <w:pPr>
        <w:keepNext w:val="0"/>
        <w:keepLines w:val="0"/>
        <w:pageBreakBefore w:val="0"/>
        <w:kinsoku/>
        <w:overflowPunct/>
        <w:topLinePunct w:val="0"/>
        <w:bidi w:val="0"/>
        <w:spacing w:before="0" w:line="600" w:lineRule="exact"/>
        <w:rPr>
          <w:rFonts w:hint="default" w:ascii="Times New Roman" w:hAnsi="Times New Roman" w:eastAsia="仿宋" w:cs="Times New Roman"/>
          <w:color w:val="auto"/>
          <w:sz w:val="28"/>
          <w:szCs w:val="28"/>
          <w:highlight w:val="none"/>
        </w:rPr>
      </w:pPr>
    </w:p>
    <w:p w14:paraId="1102E680">
      <w:pPr>
        <w:keepNext w:val="0"/>
        <w:keepLines w:val="0"/>
        <w:pageBreakBefore w:val="0"/>
        <w:kinsoku/>
        <w:overflowPunct/>
        <w:topLinePunct w:val="0"/>
        <w:bidi w:val="0"/>
        <w:spacing w:before="0"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p w14:paraId="74B24A24">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674752F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000000"/>
          <w:sz w:val="32"/>
          <w:szCs w:val="32"/>
          <w:u w:val="none"/>
          <w:lang w:val="en-US" w:eastAsia="zh-CN"/>
        </w:rPr>
      </w:pPr>
      <w:r>
        <w:rPr>
          <w:rFonts w:hint="eastAsia" w:ascii="黑体" w:hAnsi="黑体" w:eastAsia="黑体" w:cs="黑体"/>
          <w:color w:val="000000"/>
          <w:sz w:val="32"/>
          <w:szCs w:val="32"/>
          <w:u w:val="none"/>
          <w:lang w:val="en-US" w:eastAsia="zh-CN"/>
        </w:rPr>
        <w:t>附件：</w:t>
      </w:r>
    </w:p>
    <w:p w14:paraId="027C3E8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物业</w:t>
      </w:r>
      <w:r>
        <w:rPr>
          <w:rFonts w:hint="eastAsia" w:ascii="方正小标宋简体" w:hAnsi="方正小标宋简体" w:eastAsia="方正小标宋简体" w:cs="方正小标宋简体"/>
          <w:b w:val="0"/>
          <w:bCs w:val="0"/>
          <w:sz w:val="44"/>
          <w:szCs w:val="44"/>
          <w:lang w:val="en-US" w:eastAsia="zh-CN"/>
        </w:rPr>
        <w:t>租赁</w:t>
      </w:r>
      <w:r>
        <w:rPr>
          <w:rFonts w:hint="eastAsia" w:ascii="方正小标宋简体" w:hAnsi="方正小标宋简体" w:eastAsia="方正小标宋简体" w:cs="方正小标宋简体"/>
          <w:b w:val="0"/>
          <w:bCs w:val="0"/>
          <w:sz w:val="44"/>
          <w:szCs w:val="44"/>
        </w:rPr>
        <w:t>安全协议</w:t>
      </w:r>
    </w:p>
    <w:p w14:paraId="4317556A">
      <w:pPr>
        <w:autoSpaceDE/>
        <w:autoSpaceDN/>
        <w:spacing w:line="540" w:lineRule="exact"/>
        <w:jc w:val="both"/>
        <w:rPr>
          <w:rFonts w:ascii="宋体" w:hAnsi="宋体" w:eastAsia="宋体"/>
          <w:sz w:val="44"/>
          <w:szCs w:val="44"/>
        </w:rPr>
      </w:pPr>
    </w:p>
    <w:p w14:paraId="6B4B724F">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出租方：惠州交投利臻置业有限公司（以下简称“甲方”）</w:t>
      </w:r>
    </w:p>
    <w:p w14:paraId="78566D65">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统一社会信用代码：91441300MA5445KQ5E</w:t>
      </w:r>
    </w:p>
    <w:p w14:paraId="6A7B96EF">
      <w:pPr>
        <w:keepNext w:val="0"/>
        <w:keepLines w:val="0"/>
        <w:pageBreakBefore w:val="0"/>
        <w:widowControl w:val="0"/>
        <w:kinsoku/>
        <w:wordWrap/>
        <w:overflowPunct/>
        <w:topLinePunct w:val="0"/>
        <w:bidi w:val="0"/>
        <w:adjustRightInd/>
        <w:snapToGrid/>
        <w:spacing w:line="560" w:lineRule="exact"/>
        <w:ind w:left="1446" w:leftChars="0" w:right="0" w:hanging="1446" w:hangingChars="450"/>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住所地：惠州市江北16号小区兴盛大酒店10层01号</w:t>
      </w:r>
    </w:p>
    <w:p w14:paraId="6FC00D7E">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联系电话：0752-2895062</w:t>
      </w:r>
    </w:p>
    <w:p w14:paraId="490A1756">
      <w:pPr>
        <w:keepNext w:val="0"/>
        <w:keepLines w:val="0"/>
        <w:pageBreakBefore w:val="0"/>
        <w:widowControl w:val="0"/>
        <w:kinsoku/>
        <w:wordWrap/>
        <w:overflowPunct/>
        <w:topLinePunct w:val="0"/>
        <w:bidi w:val="0"/>
        <w:adjustRightInd/>
        <w:snapToGrid/>
        <w:spacing w:before="0"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承租方：</w:t>
      </w:r>
      <w:r>
        <w:rPr>
          <w:rFonts w:hint="eastAsia" w:ascii="Times New Roman" w:hAnsi="Times New Roman" w:eastAsia="仿宋" w:cs="Times New Roman"/>
          <w:b/>
          <w:bCs/>
          <w:color w:val="auto"/>
          <w:sz w:val="32"/>
          <w:szCs w:val="32"/>
          <w:highlight w:val="none"/>
          <w:lang w:eastAsia="zh-CN"/>
        </w:rPr>
        <w:t xml:space="preserve">           </w:t>
      </w:r>
      <w:r>
        <w:rPr>
          <w:rFonts w:hint="default" w:ascii="Times New Roman" w:hAnsi="Times New Roman" w:eastAsia="仿宋" w:cs="Times New Roman"/>
          <w:b/>
          <w:bCs/>
          <w:color w:val="auto"/>
          <w:sz w:val="32"/>
          <w:szCs w:val="32"/>
          <w:highlight w:val="none"/>
        </w:rPr>
        <w:t>（以下简称“乙方”）</w:t>
      </w:r>
    </w:p>
    <w:p w14:paraId="440AFB12">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公民身份号码/统一社会信用代码：</w:t>
      </w:r>
      <w:r>
        <w:rPr>
          <w:rFonts w:hint="eastAsia" w:ascii="Times New Roman" w:hAnsi="Times New Roman" w:eastAsia="仿宋" w:cs="Times New Roman"/>
          <w:b/>
          <w:bCs/>
          <w:color w:val="auto"/>
          <w:sz w:val="32"/>
          <w:szCs w:val="32"/>
          <w:highlight w:val="none"/>
          <w:lang w:eastAsia="zh-CN"/>
        </w:rPr>
        <w:t xml:space="preserve"> </w:t>
      </w:r>
    </w:p>
    <w:p w14:paraId="6C66BEAC">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u w:val="single"/>
          <w:lang w:eastAsia="zh-CN"/>
        </w:rPr>
      </w:pPr>
      <w:r>
        <w:rPr>
          <w:rFonts w:hint="default" w:ascii="Times New Roman" w:hAnsi="Times New Roman" w:eastAsia="仿宋" w:cs="Times New Roman"/>
          <w:b/>
          <w:bCs/>
          <w:color w:val="auto"/>
          <w:sz w:val="32"/>
          <w:szCs w:val="32"/>
          <w:highlight w:val="none"/>
        </w:rPr>
        <w:t>住所地：</w:t>
      </w:r>
      <w:r>
        <w:rPr>
          <w:rFonts w:hint="eastAsia" w:ascii="Times New Roman" w:hAnsi="Times New Roman" w:eastAsia="仿宋" w:cs="Times New Roman"/>
          <w:b/>
          <w:bCs/>
          <w:color w:val="auto"/>
          <w:sz w:val="32"/>
          <w:szCs w:val="32"/>
          <w:highlight w:val="none"/>
          <w:lang w:eastAsia="zh-CN"/>
        </w:rPr>
        <w:t xml:space="preserve"> </w:t>
      </w:r>
    </w:p>
    <w:p w14:paraId="11EBE541">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联系电话：</w:t>
      </w:r>
      <w:r>
        <w:rPr>
          <w:rFonts w:hint="eastAsia" w:ascii="Times New Roman" w:hAnsi="Times New Roman" w:eastAsia="仿宋" w:cs="Times New Roman"/>
          <w:b/>
          <w:bCs/>
          <w:color w:val="auto"/>
          <w:sz w:val="32"/>
          <w:szCs w:val="32"/>
          <w:highlight w:val="none"/>
          <w:lang w:eastAsia="zh-CN"/>
        </w:rPr>
        <w:t xml:space="preserve"> </w:t>
      </w:r>
    </w:p>
    <w:p w14:paraId="1F849B0F">
      <w:pPr>
        <w:autoSpaceDE/>
        <w:autoSpaceDN/>
        <w:spacing w:line="540" w:lineRule="exact"/>
        <w:jc w:val="center"/>
        <w:rPr>
          <w:rFonts w:hint="default" w:ascii="Times New Roman" w:hAnsi="Times New Roman" w:eastAsia="宋体" w:cs="Times New Roman"/>
          <w:sz w:val="44"/>
          <w:szCs w:val="44"/>
        </w:rPr>
      </w:pPr>
    </w:p>
    <w:p w14:paraId="3357B2A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依照《中华人民共和国民法典》《中华人民共和国安全生产法》《中华人民共和国消防法》《机关、团体、企业、事业单位消防安全管理规定》《消防监督检查规定》及其他有关法律</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法规和</w:t>
      </w:r>
      <w:r>
        <w:rPr>
          <w:rFonts w:hint="default" w:ascii="Times New Roman" w:hAnsi="Times New Roman" w:eastAsia="仿宋_GB2312" w:cs="Times New Roman"/>
          <w:color w:val="000000"/>
          <w:sz w:val="28"/>
          <w:szCs w:val="28"/>
          <w:lang w:eastAsia="zh-CN"/>
        </w:rPr>
        <w:t>标准规范</w:t>
      </w:r>
      <w:r>
        <w:rPr>
          <w:rFonts w:hint="default" w:ascii="Times New Roman" w:hAnsi="Times New Roman" w:eastAsia="仿宋_GB2312" w:cs="Times New Roman"/>
          <w:color w:val="000000"/>
          <w:sz w:val="28"/>
          <w:szCs w:val="28"/>
        </w:rPr>
        <w:t>要求，经甲乙双方协商后，</w:t>
      </w:r>
      <w:r>
        <w:rPr>
          <w:rFonts w:hint="default" w:ascii="Times New Roman" w:hAnsi="Times New Roman" w:eastAsia="仿宋_GB2312" w:cs="Times New Roman"/>
          <w:color w:val="000000"/>
          <w:sz w:val="28"/>
          <w:szCs w:val="28"/>
          <w:lang w:eastAsia="zh-CN"/>
        </w:rPr>
        <w:t>就</w:t>
      </w:r>
      <w:r>
        <w:rPr>
          <w:rFonts w:hint="eastAsia" w:ascii="Times New Roman" w:hAnsi="Times New Roman" w:eastAsia="仿宋_GB2312" w:cs="Times New Roman"/>
          <w:color w:val="000000"/>
          <w:sz w:val="28"/>
          <w:szCs w:val="28"/>
          <w:u w:val="single"/>
          <w:lang w:val="en-US" w:eastAsia="zh-CN"/>
        </w:rPr>
        <w:t xml:space="preserve"> 惠州仲恺高新区陈江街道银湖路146号、康泰街14号及吉祥街20号 </w:t>
      </w:r>
      <w:r>
        <w:rPr>
          <w:rFonts w:hint="eastAsia" w:ascii="Times New Roman" w:hAnsi="Times New Roman" w:eastAsia="仿宋_GB2312" w:cs="Times New Roman"/>
          <w:color w:val="000000"/>
          <w:sz w:val="28"/>
          <w:szCs w:val="28"/>
          <w:u w:val="none"/>
          <w:lang w:val="en-US" w:eastAsia="zh-CN"/>
        </w:rPr>
        <w:t>租赁</w:t>
      </w:r>
      <w:r>
        <w:rPr>
          <w:rFonts w:hint="default" w:ascii="Times New Roman" w:hAnsi="Times New Roman" w:eastAsia="仿宋_GB2312" w:cs="Times New Roman"/>
          <w:color w:val="000000"/>
          <w:sz w:val="28"/>
          <w:szCs w:val="28"/>
          <w:lang w:val="en-US" w:eastAsia="zh-CN"/>
        </w:rPr>
        <w:t>事宜签订以下安全管理协议</w:t>
      </w:r>
      <w:r>
        <w:rPr>
          <w:rFonts w:hint="default" w:ascii="Times New Roman" w:hAnsi="Times New Roman" w:eastAsia="仿宋_GB2312" w:cs="Times New Roman"/>
          <w:color w:val="000000"/>
          <w:sz w:val="28"/>
          <w:szCs w:val="28"/>
        </w:rPr>
        <w:t>。</w:t>
      </w:r>
    </w:p>
    <w:p w14:paraId="486118B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rPr>
        <w:t>一、甲方安全管理</w:t>
      </w:r>
      <w:r>
        <w:rPr>
          <w:rFonts w:hint="default" w:ascii="Times New Roman" w:hAnsi="Times New Roman" w:eastAsia="黑体" w:cs="Times New Roman"/>
          <w:b w:val="0"/>
          <w:bCs w:val="0"/>
          <w:color w:val="000000"/>
          <w:sz w:val="28"/>
          <w:szCs w:val="28"/>
          <w:lang w:eastAsia="zh-CN"/>
        </w:rPr>
        <w:t>职责</w:t>
      </w:r>
      <w:bookmarkStart w:id="0" w:name="_GoBack"/>
      <w:bookmarkEnd w:id="0"/>
    </w:p>
    <w:p w14:paraId="72BE086B">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bidi="ar-SA"/>
        </w:rPr>
        <w:t>1.</w:t>
      </w:r>
      <w:r>
        <w:rPr>
          <w:rFonts w:hint="eastAsia" w:ascii="仿宋_GB2312" w:hAnsi="仿宋_GB2312" w:eastAsia="仿宋_GB2312" w:cs="仿宋_GB2312"/>
          <w:color w:val="000000"/>
          <w:sz w:val="28"/>
          <w:szCs w:val="28"/>
        </w:rPr>
        <w:t>甲方对乙方的安全生产条件或者相应资质负有审查责任，不具备条件或者资质的不得出租，对已经承租的发现其不再具备安全生产条件的，应当立即责令停止生产，直至其具备安全生产条件为止；</w:t>
      </w:r>
    </w:p>
    <w:p w14:paraId="32E26190">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甲方应当为乙方提供符合消防安全要求的建筑物，并按照国家标准、行业标准配置消防设施、器材，设置消防安</w:t>
      </w:r>
      <w:r>
        <w:rPr>
          <w:rFonts w:hint="eastAsia" w:ascii="仿宋_GB2312" w:hAnsi="仿宋_GB2312" w:eastAsia="仿宋_GB2312" w:cs="仿宋_GB2312"/>
          <w:color w:val="000000"/>
          <w:sz w:val="28"/>
          <w:szCs w:val="28"/>
          <w:lang w:val="en-US" w:eastAsia="zh-CN"/>
        </w:rPr>
        <w:t>全标志。</w:t>
      </w:r>
    </w:p>
    <w:p w14:paraId="3FC2F7EA">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甲方出租物业内若有多个承租人的，由甲方（或甲方委托物业公司）作为统一管理人，对共有部分的消防安全实行统一管理，协调、指导各承租人共同做好物业的消防安全工作，并通过书面形式约定各方消防安全责任；</w:t>
      </w:r>
    </w:p>
    <w:p w14:paraId="3CBDD565">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4.甲方对乙方安全生产和消防安全负有监督检查责任，应当定期进行安全和消防检查，发现问题和事故隐患应及时通知乙方，并监督乙方落实整改；</w:t>
      </w:r>
    </w:p>
    <w:p w14:paraId="61654BBD">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甲方对乙方及其工作人员负有宣传教育责任，应加强</w:t>
      </w:r>
      <w:r>
        <w:rPr>
          <w:rFonts w:hint="eastAsia" w:ascii="仿宋_GB2312" w:hAnsi="仿宋_GB2312" w:eastAsia="仿宋_GB2312" w:cs="仿宋_GB2312"/>
          <w:color w:val="000000"/>
          <w:sz w:val="28"/>
          <w:szCs w:val="28"/>
          <w:lang w:val="en-US" w:eastAsia="zh-CN"/>
        </w:rPr>
        <w:t>对乙方安全负责人及物业安全管理员的</w:t>
      </w:r>
      <w:r>
        <w:rPr>
          <w:rFonts w:hint="eastAsia" w:ascii="仿宋_GB2312" w:hAnsi="仿宋_GB2312" w:eastAsia="仿宋_GB2312" w:cs="仿宋_GB2312"/>
          <w:color w:val="000000"/>
          <w:sz w:val="28"/>
          <w:szCs w:val="28"/>
        </w:rPr>
        <w:t>安全生产及消防安全宣传教育</w:t>
      </w:r>
      <w:r>
        <w:rPr>
          <w:rFonts w:hint="eastAsia" w:ascii="仿宋_GB2312" w:hAnsi="仿宋_GB2312" w:eastAsia="仿宋_GB2312" w:cs="仿宋_GB2312"/>
          <w:color w:val="000000"/>
          <w:sz w:val="28"/>
          <w:szCs w:val="28"/>
          <w:lang w:eastAsia="zh-CN"/>
        </w:rPr>
        <w:t>。</w:t>
      </w:r>
    </w:p>
    <w:p w14:paraId="166BCD7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黑体" w:cs="Times New Roman"/>
          <w:b w:val="0"/>
          <w:bCs w:val="0"/>
          <w:color w:val="000000"/>
          <w:sz w:val="28"/>
          <w:szCs w:val="28"/>
        </w:rPr>
        <w:t>二、乙方安全管理责任</w:t>
      </w:r>
    </w:p>
    <w:p w14:paraId="1094EE3C">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lang w:val="en-US" w:eastAsia="zh-CN"/>
        </w:rPr>
        <w:t>1.乙方</w:t>
      </w:r>
      <w:r>
        <w:rPr>
          <w:rFonts w:hint="eastAsia" w:ascii="Times New Roman" w:hAnsi="Times New Roman" w:eastAsia="仿宋" w:cs="Times New Roman"/>
          <w:color w:val="000000"/>
          <w:sz w:val="28"/>
          <w:szCs w:val="28"/>
          <w:lang w:val="en-US" w:eastAsia="zh-CN"/>
        </w:rPr>
        <w:t>为</w:t>
      </w:r>
      <w:r>
        <w:rPr>
          <w:rFonts w:hint="default" w:ascii="Times New Roman" w:hAnsi="Times New Roman" w:eastAsia="仿宋" w:cs="Times New Roman"/>
          <w:color w:val="000000"/>
          <w:sz w:val="28"/>
          <w:szCs w:val="28"/>
        </w:rPr>
        <w:t>承租物业的直接责任人，对承租物业具有直接责任，对承租物业的安全生产负有全面责任；</w:t>
      </w:r>
    </w:p>
    <w:p w14:paraId="3542A71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遵守国家安全生产、消防和环境保护的法律、法规和规章等规定，落实好消防安全责任，采取控制和处理物业、场地的各种风险、隐患的措施，依法加强安全生产管理、执行安全生产责任制度，防止发生火灾和其他伤害事故的发生</w:t>
      </w:r>
      <w:r>
        <w:rPr>
          <w:rFonts w:hint="default" w:ascii="Times New Roman" w:hAnsi="Times New Roman" w:eastAsia="仿宋_GB2312" w:cs="Times New Roman"/>
          <w:color w:val="000000"/>
          <w:sz w:val="28"/>
          <w:szCs w:val="28"/>
          <w:lang w:eastAsia="zh-CN"/>
        </w:rPr>
        <w:t>。</w:t>
      </w:r>
    </w:p>
    <w:p w14:paraId="4071766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应</w:t>
      </w:r>
      <w:r>
        <w:rPr>
          <w:rFonts w:hint="default" w:ascii="Times New Roman" w:hAnsi="Times New Roman" w:eastAsia="仿宋_GB2312" w:cs="Times New Roman"/>
          <w:color w:val="000000"/>
          <w:sz w:val="28"/>
          <w:szCs w:val="28"/>
        </w:rPr>
        <w:t>建立、健全安全</w:t>
      </w:r>
      <w:r>
        <w:rPr>
          <w:rFonts w:hint="default" w:ascii="Times New Roman" w:hAnsi="Times New Roman" w:eastAsia="仿宋_GB2312" w:cs="Times New Roman"/>
          <w:color w:val="000000"/>
          <w:sz w:val="28"/>
          <w:szCs w:val="28"/>
          <w:lang w:val="en-US" w:eastAsia="zh-CN"/>
        </w:rPr>
        <w:t>生产</w:t>
      </w:r>
      <w:r>
        <w:rPr>
          <w:rFonts w:hint="default" w:ascii="Times New Roman" w:hAnsi="Times New Roman" w:eastAsia="仿宋_GB2312" w:cs="Times New Roman"/>
          <w:color w:val="000000"/>
          <w:sz w:val="28"/>
          <w:szCs w:val="28"/>
          <w:u w:val="none"/>
        </w:rPr>
        <w:t>管理</w:t>
      </w:r>
      <w:r>
        <w:rPr>
          <w:rFonts w:hint="default" w:ascii="Times New Roman" w:hAnsi="Times New Roman" w:eastAsia="仿宋_GB2312" w:cs="Times New Roman"/>
          <w:color w:val="000000"/>
          <w:sz w:val="28"/>
          <w:szCs w:val="28"/>
          <w:u w:val="none"/>
          <w:lang w:val="en-US" w:eastAsia="zh-CN"/>
        </w:rPr>
        <w:t>规章制度和操作规程</w:t>
      </w:r>
      <w:r>
        <w:rPr>
          <w:rFonts w:hint="default" w:ascii="Times New Roman" w:hAnsi="Times New Roman" w:eastAsia="仿宋_GB2312" w:cs="Times New Roman"/>
          <w:color w:val="000000"/>
          <w:sz w:val="28"/>
          <w:szCs w:val="28"/>
        </w:rPr>
        <w:t>（消防安全、治安安全、生产安全），明确安全责任人，逐级落实安全责任制和岗位安全责任制，明确逐级和岗位安全职责，确定各级、各岗位的安全责任人。</w:t>
      </w:r>
    </w:p>
    <w:p w14:paraId="1F8385D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eastAsia" w:ascii="Times New Roman" w:hAnsi="Times New Roman" w:eastAsia="仿宋_GB2312" w:cs="Times New Roman"/>
          <w:color w:val="000000"/>
          <w:sz w:val="28"/>
          <w:szCs w:val="28"/>
          <w:u w:val="none"/>
          <w:lang w:val="en-US" w:eastAsia="zh-CN"/>
        </w:rPr>
        <w:t>4</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应按规定保证安全生产所必需的资金投入</w:t>
      </w:r>
      <w:r>
        <w:rPr>
          <w:rFonts w:hint="default" w:ascii="Times New Roman" w:hAnsi="Times New Roman" w:eastAsia="仿宋_GB2312" w:cs="Times New Roman"/>
          <w:color w:val="000000"/>
          <w:sz w:val="28"/>
          <w:szCs w:val="28"/>
          <w:u w:val="none"/>
          <w:lang w:val="en-US" w:eastAsia="zh-CN"/>
        </w:rPr>
        <w:t>和有效实施</w:t>
      </w:r>
      <w:r>
        <w:rPr>
          <w:rFonts w:hint="default" w:ascii="Times New Roman" w:hAnsi="Times New Roman" w:eastAsia="仿宋_GB2312" w:cs="Times New Roman"/>
          <w:color w:val="000000"/>
          <w:sz w:val="28"/>
          <w:szCs w:val="28"/>
          <w:u w:val="none"/>
        </w:rPr>
        <w:t>。</w:t>
      </w:r>
    </w:p>
    <w:p w14:paraId="1C97173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eastAsia="zh-CN"/>
        </w:rPr>
      </w:pPr>
      <w:r>
        <w:rPr>
          <w:rFonts w:hint="eastAsia" w:ascii="Times New Roman" w:hAnsi="Times New Roman" w:eastAsia="仿宋_GB2312" w:cs="Times New Roman"/>
          <w:color w:val="000000"/>
          <w:sz w:val="28"/>
          <w:szCs w:val="28"/>
          <w:u w:val="none"/>
          <w:lang w:val="en-US" w:eastAsia="zh-CN"/>
        </w:rPr>
        <w:t>5</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应负责</w:t>
      </w:r>
      <w:r>
        <w:rPr>
          <w:rFonts w:hint="eastAsia" w:ascii="Times New Roman" w:hAnsi="Times New Roman" w:eastAsia="仿宋_GB2312" w:cs="Times New Roman"/>
          <w:sz w:val="28"/>
          <w:szCs w:val="28"/>
          <w:lang w:val="en-US" w:eastAsia="zh-CN"/>
        </w:rPr>
        <w:t>租赁场所消防设备的</w:t>
      </w:r>
      <w:r>
        <w:rPr>
          <w:rFonts w:hint="default" w:ascii="Times New Roman" w:hAnsi="Times New Roman" w:eastAsia="仿宋_GB2312" w:cs="Times New Roman"/>
          <w:color w:val="000000"/>
          <w:sz w:val="28"/>
          <w:szCs w:val="28"/>
          <w:u w:val="none"/>
        </w:rPr>
        <w:t>管理、维修、保养、更新、配备</w:t>
      </w:r>
      <w:r>
        <w:rPr>
          <w:rFonts w:hint="default" w:ascii="Times New Roman" w:hAnsi="Times New Roman" w:eastAsia="仿宋_GB2312" w:cs="Times New Roman"/>
          <w:color w:val="000000"/>
          <w:sz w:val="28"/>
          <w:szCs w:val="28"/>
          <w:u w:val="none"/>
          <w:lang w:eastAsia="zh-CN"/>
        </w:rPr>
        <w:t>自救</w:t>
      </w:r>
      <w:r>
        <w:rPr>
          <w:rFonts w:hint="default" w:ascii="Times New Roman" w:hAnsi="Times New Roman" w:eastAsia="仿宋_GB2312" w:cs="Times New Roman"/>
          <w:color w:val="000000"/>
          <w:sz w:val="28"/>
          <w:szCs w:val="28"/>
          <w:u w:val="none"/>
        </w:rPr>
        <w:t>设施、器材</w:t>
      </w:r>
      <w:r>
        <w:rPr>
          <w:rFonts w:hint="eastAsia" w:ascii="Times New Roman" w:hAnsi="Times New Roman" w:eastAsia="仿宋_GB2312" w:cs="Times New Roman"/>
          <w:sz w:val="28"/>
          <w:szCs w:val="28"/>
          <w:lang w:val="en-US" w:eastAsia="zh-CN"/>
        </w:rPr>
        <w:t>和</w:t>
      </w:r>
      <w:r>
        <w:rPr>
          <w:rFonts w:hint="eastAsia" w:ascii="Times New Roman" w:hAnsi="Times New Roman" w:eastAsia="仿宋_GB2312" w:cs="Times New Roman"/>
          <w:sz w:val="28"/>
          <w:szCs w:val="28"/>
        </w:rPr>
        <w:t>安全消防标志</w:t>
      </w:r>
      <w:r>
        <w:rPr>
          <w:rFonts w:hint="eastAsia" w:ascii="Times New Roman" w:hAnsi="Times New Roman" w:eastAsia="仿宋_GB2312" w:cs="Times New Roman"/>
          <w:sz w:val="28"/>
          <w:szCs w:val="28"/>
          <w:lang w:val="en-US" w:eastAsia="zh-CN"/>
        </w:rPr>
        <w:t>以</w:t>
      </w:r>
      <w:r>
        <w:rPr>
          <w:rFonts w:hint="eastAsia" w:ascii="Times New Roman" w:hAnsi="Times New Roman" w:eastAsia="仿宋_GB2312" w:cs="Times New Roman"/>
          <w:sz w:val="28"/>
          <w:szCs w:val="28"/>
        </w:rPr>
        <w:t>及</w:t>
      </w:r>
      <w:r>
        <w:rPr>
          <w:rFonts w:hint="eastAsia" w:ascii="Times New Roman" w:hAnsi="Times New Roman" w:eastAsia="仿宋_GB2312" w:cs="Times New Roman"/>
          <w:sz w:val="28"/>
          <w:szCs w:val="28"/>
          <w:lang w:val="en-US" w:eastAsia="zh-CN"/>
        </w:rPr>
        <w:t>电气线路和设备等</w:t>
      </w:r>
      <w:r>
        <w:rPr>
          <w:rFonts w:hint="default" w:ascii="Times New Roman" w:hAnsi="Times New Roman" w:eastAsia="仿宋_GB2312" w:cs="Times New Roman"/>
          <w:color w:val="000000"/>
          <w:sz w:val="28"/>
          <w:szCs w:val="28"/>
          <w:u w:val="none"/>
        </w:rPr>
        <w:t>有关设施，</w:t>
      </w:r>
      <w:r>
        <w:rPr>
          <w:rFonts w:hint="default" w:ascii="Times New Roman" w:hAnsi="Times New Roman" w:eastAsia="仿宋_GB2312" w:cs="Times New Roman"/>
          <w:color w:val="000000"/>
          <w:sz w:val="28"/>
          <w:szCs w:val="28"/>
          <w:u w:val="none"/>
          <w:lang w:val="en-US" w:eastAsia="zh-CN"/>
        </w:rPr>
        <w:t>保障设施、设备及安全消防标</w:t>
      </w:r>
      <w:r>
        <w:rPr>
          <w:rFonts w:hint="eastAsia" w:ascii="Times New Roman" w:hAnsi="Times New Roman" w:eastAsia="仿宋_GB2312" w:cs="Times New Roman"/>
          <w:color w:val="000000"/>
          <w:sz w:val="28"/>
          <w:szCs w:val="28"/>
          <w:u w:val="none"/>
          <w:lang w:val="en-US" w:eastAsia="zh-CN"/>
        </w:rPr>
        <w:t>志</w:t>
      </w:r>
      <w:r>
        <w:rPr>
          <w:rFonts w:hint="default" w:ascii="Times New Roman" w:hAnsi="Times New Roman" w:eastAsia="仿宋_GB2312" w:cs="Times New Roman"/>
          <w:color w:val="000000"/>
          <w:sz w:val="28"/>
          <w:szCs w:val="28"/>
          <w:u w:val="none"/>
          <w:lang w:val="en-US" w:eastAsia="zh-CN"/>
        </w:rPr>
        <w:t>齐全有效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应按规定实施防火检查和火灾隐患整改工作</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确保完好有效</w:t>
      </w:r>
      <w:r>
        <w:rPr>
          <w:rFonts w:hint="default" w:ascii="Times New Roman" w:hAnsi="Times New Roman" w:eastAsia="仿宋_GB2312" w:cs="Times New Roman"/>
          <w:color w:val="000000"/>
          <w:sz w:val="28"/>
          <w:szCs w:val="28"/>
          <w:u w:val="none"/>
          <w:lang w:val="en-US" w:eastAsia="zh-CN"/>
        </w:rPr>
        <w:t>，负责</w:t>
      </w:r>
      <w:r>
        <w:rPr>
          <w:rFonts w:hint="default" w:ascii="Times New Roman" w:hAnsi="Times New Roman" w:eastAsia="仿宋" w:cs="Times New Roman"/>
          <w:color w:val="000000"/>
          <w:sz w:val="28"/>
          <w:szCs w:val="28"/>
          <w:u w:val="none"/>
          <w:lang w:val="en-US" w:eastAsia="zh-CN"/>
        </w:rPr>
        <w:t>消防通道、安全出口、消防设施和消防通道的统一管理，</w:t>
      </w:r>
      <w:r>
        <w:rPr>
          <w:rFonts w:hint="default" w:ascii="Times New Roman" w:hAnsi="Times New Roman" w:eastAsia="仿宋_GB2312" w:cs="Times New Roman"/>
          <w:color w:val="000000"/>
          <w:sz w:val="28"/>
          <w:szCs w:val="28"/>
          <w:u w:val="none"/>
        </w:rPr>
        <w:t>确保疏散通道和安全出口畅通。保证所使用的供配电设备设施线路安全有效，线路配件老化及时维修更换；营业时或使用前确定安全用电，停业时关闭电源检查后离开，预防火灾事故的发生</w:t>
      </w:r>
      <w:r>
        <w:rPr>
          <w:rFonts w:hint="default" w:ascii="Times New Roman" w:hAnsi="Times New Roman" w:eastAsia="仿宋_GB2312" w:cs="Times New Roman"/>
          <w:color w:val="000000"/>
          <w:sz w:val="28"/>
          <w:szCs w:val="28"/>
          <w:u w:val="none"/>
          <w:lang w:eastAsia="zh-CN"/>
        </w:rPr>
        <w:t>。</w:t>
      </w:r>
    </w:p>
    <w:p w14:paraId="0479BA4F">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 w:cs="Times New Roman"/>
          <w:color w:val="000000"/>
          <w:sz w:val="28"/>
          <w:szCs w:val="28"/>
        </w:rPr>
        <w:t>对承租物业事故隐患排查治理负有直接责任，</w:t>
      </w:r>
      <w:r>
        <w:rPr>
          <w:rFonts w:hint="default" w:ascii="Times New Roman" w:hAnsi="Times New Roman" w:eastAsia="仿宋" w:cs="Times New Roman"/>
          <w:color w:val="000000"/>
          <w:sz w:val="28"/>
          <w:szCs w:val="28"/>
          <w:lang w:val="en-US" w:eastAsia="zh-CN"/>
        </w:rPr>
        <w:t>应</w:t>
      </w:r>
      <w:r>
        <w:rPr>
          <w:rFonts w:hint="default" w:ascii="Times New Roman" w:hAnsi="Times New Roman" w:eastAsia="仿宋" w:cs="Times New Roman"/>
          <w:color w:val="000000"/>
          <w:sz w:val="28"/>
          <w:szCs w:val="28"/>
        </w:rPr>
        <w:t>按照规定，定期开展安全生产隐患排查治理，并</w:t>
      </w:r>
      <w:r>
        <w:rPr>
          <w:rFonts w:hint="default" w:ascii="Times New Roman" w:hAnsi="Times New Roman" w:eastAsia="仿宋" w:cs="Times New Roman"/>
          <w:color w:val="000000"/>
          <w:sz w:val="28"/>
          <w:szCs w:val="28"/>
          <w:lang w:val="en-US" w:eastAsia="zh-CN"/>
        </w:rPr>
        <w:t>建立事故</w:t>
      </w:r>
      <w:r>
        <w:rPr>
          <w:rFonts w:hint="default" w:ascii="Times New Roman" w:hAnsi="Times New Roman" w:eastAsia="仿宋" w:cs="Times New Roman"/>
          <w:color w:val="000000"/>
          <w:sz w:val="28"/>
          <w:szCs w:val="28"/>
        </w:rPr>
        <w:t>隐患排查治理</w:t>
      </w:r>
      <w:r>
        <w:rPr>
          <w:rFonts w:hint="default" w:ascii="Times New Roman" w:hAnsi="Times New Roman" w:eastAsia="仿宋" w:cs="Times New Roman"/>
          <w:color w:val="000000"/>
          <w:sz w:val="28"/>
          <w:szCs w:val="28"/>
          <w:lang w:val="en-US" w:eastAsia="zh-CN"/>
        </w:rPr>
        <w:t>信息档案，相关信息按规定</w:t>
      </w:r>
      <w:r>
        <w:rPr>
          <w:rFonts w:hint="default" w:ascii="Times New Roman" w:hAnsi="Times New Roman" w:eastAsia="仿宋" w:cs="Times New Roman"/>
          <w:color w:val="000000"/>
          <w:sz w:val="28"/>
          <w:szCs w:val="28"/>
        </w:rPr>
        <w:t>报告甲方</w:t>
      </w:r>
      <w:r>
        <w:rPr>
          <w:rFonts w:hint="default" w:ascii="Times New Roman" w:hAnsi="Times New Roman" w:eastAsia="仿宋_GB2312" w:cs="Times New Roman"/>
          <w:color w:val="000000"/>
          <w:sz w:val="28"/>
          <w:szCs w:val="28"/>
        </w:rPr>
        <w:t>，对存在的隐患不及时整改，造成后果、发生安全事故责任自负。保证招牌、广告牌、空调架等悬挂物安全可靠，不得高空抛物，由此产生的后果及法律责任自负。</w:t>
      </w:r>
    </w:p>
    <w:p w14:paraId="41458F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 w:cs="Times New Roman"/>
          <w:color w:val="000000"/>
          <w:sz w:val="28"/>
          <w:szCs w:val="28"/>
        </w:rPr>
        <w:t>负有对本单位员工安全教育培训责任，应当加强员工安全教育和培训，保证员工具备必要的安全知识，熟悉有关安全生产规章制度和操作规程以及事故应急处理措施等知识</w:t>
      </w:r>
      <w:r>
        <w:rPr>
          <w:rFonts w:hint="default" w:ascii="Times New Roman" w:hAnsi="Times New Roman" w:eastAsia="仿宋" w:cs="Times New Roman"/>
          <w:color w:val="000000"/>
          <w:sz w:val="28"/>
          <w:szCs w:val="28"/>
          <w:lang w:eastAsia="zh-CN"/>
        </w:rPr>
        <w:t>，</w:t>
      </w:r>
      <w:r>
        <w:rPr>
          <w:rFonts w:hint="default" w:ascii="Times New Roman" w:hAnsi="Times New Roman" w:eastAsia="仿宋_GB2312" w:cs="Times New Roman"/>
          <w:color w:val="000000"/>
          <w:sz w:val="28"/>
          <w:szCs w:val="28"/>
        </w:rPr>
        <w:t>开展消防安全宣传教育，组织开展对</w:t>
      </w:r>
      <w:r>
        <w:rPr>
          <w:rFonts w:hint="default" w:ascii="Times New Roman" w:hAnsi="Times New Roman" w:eastAsia="仿宋_GB2312" w:cs="Times New Roman"/>
          <w:color w:val="000000"/>
          <w:sz w:val="28"/>
          <w:szCs w:val="28"/>
          <w:lang w:eastAsia="zh-CN"/>
        </w:rPr>
        <w:t>人员</w:t>
      </w:r>
      <w:r>
        <w:rPr>
          <w:rFonts w:hint="default" w:ascii="Times New Roman" w:hAnsi="Times New Roman" w:eastAsia="仿宋_GB2312" w:cs="Times New Roman"/>
          <w:color w:val="000000"/>
          <w:sz w:val="28"/>
          <w:szCs w:val="28"/>
        </w:rPr>
        <w:t>消防知识、技能的宣传教育和培训，组织灭火和应急疏散预案的实施和演练。</w:t>
      </w:r>
    </w:p>
    <w:p w14:paraId="3CEF4D0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发生生产安全事故时，应当迅速采取有效措施，组织抢救，防止事故扩大，减少人员伤亡和财产损失，并应立即报警和报告甲方，同时保护好事故现场，不得故意破坏事故现场、毁灭有关证据。</w:t>
      </w:r>
    </w:p>
    <w:p w14:paraId="7EAE4FF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不得在租赁场所内设置人员居住场所</w:t>
      </w:r>
      <w:r>
        <w:rPr>
          <w:rFonts w:hint="eastAsia" w:ascii="Times New Roman" w:hAnsi="Times New Roman" w:eastAsia="仿宋_GB2312" w:cs="Times New Roman"/>
          <w:sz w:val="28"/>
          <w:szCs w:val="28"/>
          <w:lang w:val="en-US" w:eastAsia="zh-CN"/>
        </w:rPr>
        <w:t>和对电动自行车进行充电</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严禁违规</w:t>
      </w:r>
      <w:r>
        <w:rPr>
          <w:rFonts w:hint="default" w:ascii="Times New Roman" w:hAnsi="Times New Roman" w:eastAsia="仿宋_GB2312" w:cs="Times New Roman"/>
          <w:color w:val="000000"/>
          <w:sz w:val="28"/>
          <w:szCs w:val="28"/>
        </w:rPr>
        <w:t>使用液化气、酒精炉、电炉</w:t>
      </w:r>
      <w:r>
        <w:rPr>
          <w:rFonts w:hint="default" w:ascii="Times New Roman" w:hAnsi="Times New Roman" w:eastAsia="仿宋_GB2312" w:cs="Times New Roman"/>
          <w:color w:val="000000"/>
          <w:sz w:val="28"/>
          <w:szCs w:val="28"/>
          <w:lang w:eastAsia="zh-CN"/>
        </w:rPr>
        <w:t>等</w:t>
      </w:r>
      <w:r>
        <w:rPr>
          <w:rFonts w:hint="default" w:ascii="Times New Roman" w:hAnsi="Times New Roman" w:eastAsia="仿宋_GB2312" w:cs="Times New Roman"/>
          <w:color w:val="000000"/>
          <w:sz w:val="28"/>
          <w:szCs w:val="28"/>
        </w:rPr>
        <w:t>，禁止在具有火灾、爆炸危险的场所吸烟、使用明火。不能在</w:t>
      </w:r>
      <w:r>
        <w:rPr>
          <w:rFonts w:hint="default" w:ascii="Times New Roman" w:hAnsi="Times New Roman" w:eastAsia="仿宋_GB2312" w:cs="Times New Roman"/>
          <w:color w:val="000000"/>
          <w:sz w:val="28"/>
          <w:szCs w:val="28"/>
          <w:lang w:val="en-US" w:eastAsia="zh-CN"/>
        </w:rPr>
        <w:t>租赁物业</w:t>
      </w:r>
      <w:r>
        <w:rPr>
          <w:rFonts w:hint="default" w:ascii="Times New Roman" w:hAnsi="Times New Roman" w:eastAsia="仿宋_GB2312" w:cs="Times New Roman"/>
          <w:color w:val="000000"/>
          <w:sz w:val="28"/>
          <w:szCs w:val="28"/>
        </w:rPr>
        <w:t>内存放</w:t>
      </w:r>
      <w:r>
        <w:rPr>
          <w:rFonts w:hint="eastAsia" w:ascii="Times New Roman" w:hAnsi="Times New Roman" w:eastAsia="仿宋_GB2312" w:cs="Times New Roman"/>
          <w:sz w:val="28"/>
          <w:szCs w:val="28"/>
          <w:lang w:val="en-US" w:eastAsia="zh-CN"/>
        </w:rPr>
        <w:t>易燃、易爆品，有毒有害物质。</w:t>
      </w:r>
    </w:p>
    <w:p w14:paraId="4DF7A63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因</w:t>
      </w:r>
      <w:r>
        <w:rPr>
          <w:rFonts w:hint="eastAsia" w:ascii="Times New Roman" w:hAnsi="Times New Roman" w:eastAsia="仿宋_GB2312" w:cs="Times New Roman"/>
          <w:color w:val="000000"/>
          <w:sz w:val="28"/>
          <w:szCs w:val="28"/>
          <w:lang w:eastAsia="zh-CN"/>
        </w:rPr>
        <w:t>装修、</w:t>
      </w:r>
      <w:r>
        <w:rPr>
          <w:rFonts w:hint="default" w:ascii="Times New Roman" w:hAnsi="Times New Roman" w:eastAsia="仿宋_GB2312" w:cs="Times New Roman"/>
          <w:color w:val="000000"/>
          <w:sz w:val="28"/>
          <w:szCs w:val="28"/>
        </w:rPr>
        <w:t>施工等特殊情况需要使用明火作业的，应当办理动火作业票，审批通过后方可动火作业，并采取相应的消防安全措施。</w:t>
      </w:r>
    </w:p>
    <w:p w14:paraId="75CAF67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11</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不得违反《中华人民共和国消防法》《建筑设计防火规范》等法律、法规要求 ，违规生产、储存、使用、经营危险化学品。</w:t>
      </w:r>
    </w:p>
    <w:p w14:paraId="20CC50D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不得在承租物业内放置超过建筑设计负荷的物品或进行其他影响建筑结构安全的活动。</w:t>
      </w:r>
    </w:p>
    <w:p w14:paraId="11CB8E1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开展经营活动或对承租物业进行改造（改建或扩建）、装修、修缮等，</w:t>
      </w:r>
      <w:r>
        <w:rPr>
          <w:rFonts w:hint="eastAsia" w:ascii="Times New Roman" w:hAnsi="Times New Roman" w:eastAsia="仿宋_GB2312" w:cs="Times New Roman"/>
          <w:sz w:val="28"/>
          <w:szCs w:val="28"/>
          <w:lang w:val="en-US" w:eastAsia="zh-CN"/>
        </w:rPr>
        <w:t>需向甲方书面申请并取得同意后</w:t>
      </w:r>
      <w:r>
        <w:rPr>
          <w:rFonts w:hint="default" w:ascii="Times New Roman" w:hAnsi="Times New Roman" w:eastAsia="仿宋_GB2312" w:cs="Times New Roman"/>
          <w:color w:val="000000"/>
          <w:sz w:val="28"/>
          <w:szCs w:val="28"/>
        </w:rPr>
        <w:t>按有关规定在相应的政府职能部门取得审批，使用的装修、装饰材料的防火性能必须符合国家和行业标准。</w:t>
      </w:r>
    </w:p>
    <w:p w14:paraId="648E0AB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14</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不得对承租物业进行转租的，确实要转租的，报甲方同意后应与次承租人签订安全管理协议，落实各自的安全生产责任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有关安全生产管理协议应送交甲方备案。</w:t>
      </w:r>
    </w:p>
    <w:p w14:paraId="6EDB3BD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15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乙方在发生安全事故时，乙方应按国家省市相关规定及时、如实</w:t>
      </w:r>
      <w:r>
        <w:rPr>
          <w:rFonts w:hint="eastAsia" w:ascii="Times New Roman" w:hAnsi="Times New Roman" w:eastAsia="仿宋_GB2312" w:cs="Times New Roman"/>
          <w:color w:val="000000"/>
          <w:sz w:val="28"/>
          <w:szCs w:val="28"/>
          <w:lang w:eastAsia="zh-CN"/>
        </w:rPr>
        <w:t>地</w:t>
      </w:r>
      <w:r>
        <w:rPr>
          <w:rFonts w:hint="default" w:ascii="Times New Roman" w:hAnsi="Times New Roman" w:eastAsia="仿宋_GB2312" w:cs="Times New Roman"/>
          <w:color w:val="000000"/>
          <w:sz w:val="28"/>
          <w:szCs w:val="28"/>
        </w:rPr>
        <w:t>进行上报，不得瞒报或拖延不报。</w:t>
      </w:r>
      <w:r>
        <w:rPr>
          <w:rFonts w:hint="eastAsia" w:ascii="Times New Roman" w:hAnsi="Times New Roman" w:eastAsia="仿宋_GB2312" w:cs="Times New Roman"/>
          <w:sz w:val="28"/>
          <w:szCs w:val="28"/>
          <w:lang w:val="en-US" w:eastAsia="zh-CN"/>
        </w:rPr>
        <w:t>因事故瞒报或拖延不报产生的法律责任由乙方负责。</w:t>
      </w:r>
    </w:p>
    <w:p w14:paraId="021CD34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eastAsia" w:ascii="Times New Roman" w:hAnsi="Times New Roman" w:eastAsia="仿宋_GB2312" w:cs="Times New Roman"/>
          <w:color w:val="000000"/>
          <w:sz w:val="28"/>
          <w:szCs w:val="28"/>
          <w:lang w:val="en-US" w:eastAsia="zh-CN"/>
        </w:rPr>
        <w:t>16</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lang w:val="en-US" w:eastAsia="zh-CN"/>
        </w:rPr>
        <w:t>方进行</w:t>
      </w:r>
      <w:r>
        <w:rPr>
          <w:rFonts w:hint="default" w:ascii="Times New Roman" w:hAnsi="Times New Roman" w:eastAsia="仿宋_GB2312" w:cs="Times New Roman"/>
          <w:color w:val="000000"/>
          <w:sz w:val="28"/>
          <w:szCs w:val="28"/>
        </w:rPr>
        <w:t>室内装修</w:t>
      </w:r>
      <w:r>
        <w:rPr>
          <w:rFonts w:hint="default" w:ascii="Times New Roman" w:hAnsi="Times New Roman" w:eastAsia="仿宋_GB2312" w:cs="Times New Roman"/>
          <w:color w:val="000000"/>
          <w:sz w:val="28"/>
          <w:szCs w:val="28"/>
          <w:lang w:eastAsia="zh-CN"/>
        </w:rPr>
        <w:t>涉及消防安全的事项</w:t>
      </w:r>
      <w:r>
        <w:rPr>
          <w:rFonts w:hint="default" w:ascii="Times New Roman" w:hAnsi="Times New Roman" w:eastAsia="仿宋_GB2312" w:cs="Times New Roman"/>
          <w:color w:val="000000"/>
          <w:sz w:val="28"/>
          <w:szCs w:val="28"/>
        </w:rPr>
        <w:t>必须</w:t>
      </w:r>
      <w:r>
        <w:rPr>
          <w:rFonts w:hint="default" w:ascii="Times New Roman" w:hAnsi="Times New Roman" w:eastAsia="仿宋_GB2312" w:cs="Times New Roman"/>
          <w:color w:val="000000"/>
          <w:sz w:val="28"/>
          <w:szCs w:val="28"/>
          <w:lang w:eastAsia="zh-CN"/>
        </w:rPr>
        <w:t>报</w:t>
      </w:r>
      <w:r>
        <w:rPr>
          <w:rFonts w:hint="default" w:ascii="Times New Roman" w:hAnsi="Times New Roman" w:eastAsia="仿宋_GB2312" w:cs="Times New Roman"/>
          <w:color w:val="000000"/>
          <w:sz w:val="28"/>
          <w:szCs w:val="28"/>
        </w:rPr>
        <w:t>消防部门批准，取得批文后，报</w:t>
      </w:r>
      <w:r>
        <w:rPr>
          <w:rFonts w:hint="default" w:ascii="Times New Roman" w:hAnsi="Times New Roman" w:eastAsia="仿宋_GB2312" w:cs="Times New Roman"/>
          <w:color w:val="000000"/>
          <w:sz w:val="28"/>
          <w:szCs w:val="28"/>
          <w:lang w:val="en-US" w:eastAsia="zh-CN"/>
        </w:rPr>
        <w:t>甲方及物业管理单位</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val="en-US" w:eastAsia="zh-CN"/>
        </w:rPr>
        <w:t>甲方通过</w:t>
      </w:r>
      <w:r>
        <w:rPr>
          <w:rFonts w:hint="default" w:ascii="Times New Roman" w:hAnsi="Times New Roman" w:eastAsia="仿宋_GB2312" w:cs="Times New Roman"/>
          <w:color w:val="000000"/>
          <w:sz w:val="28"/>
          <w:szCs w:val="28"/>
        </w:rPr>
        <w:t>后方可装修营业。</w:t>
      </w:r>
      <w:r>
        <w:rPr>
          <w:rFonts w:hint="default"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严格按照批文内容装修，不得擅自关闭、增改消防设施系统，必要时应报公安消防部门批准，</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并由专业消防公司设计施工，装修</w:t>
      </w:r>
      <w:r>
        <w:rPr>
          <w:rFonts w:hint="default" w:ascii="Times New Roman" w:hAnsi="Times New Roman" w:eastAsia="仿宋_GB2312" w:cs="Times New Roman"/>
          <w:color w:val="000000"/>
          <w:sz w:val="28"/>
          <w:szCs w:val="28"/>
          <w:lang w:eastAsia="zh-CN"/>
        </w:rPr>
        <w:t>必须</w:t>
      </w:r>
      <w:r>
        <w:rPr>
          <w:rFonts w:hint="default" w:ascii="Times New Roman" w:hAnsi="Times New Roman" w:eastAsia="仿宋_GB2312" w:cs="Times New Roman"/>
          <w:color w:val="000000"/>
          <w:sz w:val="28"/>
          <w:szCs w:val="28"/>
        </w:rPr>
        <w:t>落实安全消防措施</w:t>
      </w:r>
      <w:r>
        <w:rPr>
          <w:rFonts w:hint="default" w:ascii="Times New Roman" w:hAnsi="Times New Roman" w:eastAsia="仿宋_GB2312" w:cs="Times New Roman"/>
          <w:color w:val="000000"/>
          <w:sz w:val="28"/>
          <w:szCs w:val="28"/>
          <w:lang w:eastAsia="zh-CN"/>
        </w:rPr>
        <w:t>。</w:t>
      </w:r>
    </w:p>
    <w:p w14:paraId="0D32961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17</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应当按相关规定建立消防安全档案，统一保管、备查。</w:t>
      </w:r>
    </w:p>
    <w:p w14:paraId="524ACF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应当遵守甲方的有关安全生产标准与安全生产管理制度，服从甲方监督管理。</w:t>
      </w:r>
    </w:p>
    <w:p w14:paraId="2997308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rPr>
        <w:t>三、违约责任</w:t>
      </w:r>
    </w:p>
    <w:p w14:paraId="323E930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1</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乙方出现安全隐患，经书面通知整改未改，甲方</w:t>
      </w:r>
      <w:r>
        <w:rPr>
          <w:rFonts w:hint="default" w:ascii="Times New Roman" w:hAnsi="Times New Roman" w:eastAsia="仿宋_GB2312" w:cs="Times New Roman"/>
          <w:color w:val="000000"/>
          <w:sz w:val="28"/>
          <w:szCs w:val="28"/>
          <w:u w:val="none"/>
          <w:lang w:val="en-US" w:eastAsia="zh-CN"/>
        </w:rPr>
        <w:t>有权责令乙方停业整顿，直到隐患整改验收为止</w:t>
      </w:r>
      <w:r>
        <w:rPr>
          <w:rFonts w:hint="default" w:ascii="Times New Roman" w:hAnsi="Times New Roman" w:eastAsia="仿宋_GB2312" w:cs="Times New Roman"/>
          <w:color w:val="000000"/>
          <w:sz w:val="28"/>
          <w:szCs w:val="28"/>
          <w:u w:val="none"/>
        </w:rPr>
        <w:t>。</w:t>
      </w:r>
    </w:p>
    <w:p w14:paraId="2A5E778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u w:val="none"/>
          <w:lang w:val="en-US" w:eastAsia="zh-CN"/>
        </w:rPr>
        <w:t>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乙方不履行本协议安全管理职责而发生生产安全事故或其他安全生产违法行为，被行政主管部门处罚的，均由乙方承担，如乙方不直接支付罚款，甲方可从乙方支付的履约保证金中扣除，或通过其他法律渠道向乙方追索。</w:t>
      </w:r>
    </w:p>
    <w:p w14:paraId="0094D9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方应遵守国家法律法规，合法从事经营活动。因违反法律法规或违法经营导致的法律责任及造成</w:t>
      </w:r>
      <w:r>
        <w:rPr>
          <w:rFonts w:hint="default" w:ascii="Times New Roman" w:hAnsi="Times New Roman" w:eastAsia="仿宋_GB2312" w:cs="Times New Roman"/>
          <w:color w:val="000000"/>
          <w:sz w:val="28"/>
          <w:szCs w:val="28"/>
          <w:lang w:eastAsia="zh-CN"/>
        </w:rPr>
        <w:t>他人、</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的经济损失由</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方承担</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甲方因维护自身合法权益产生的鉴定费、诉讼费、律师费等相关费用由乙方承担</w:t>
      </w:r>
      <w:r>
        <w:rPr>
          <w:rFonts w:hint="default" w:ascii="Times New Roman" w:hAnsi="Times New Roman" w:eastAsia="仿宋_GB2312" w:cs="Times New Roman"/>
          <w:color w:val="000000"/>
          <w:sz w:val="28"/>
          <w:szCs w:val="28"/>
        </w:rPr>
        <w:t>。</w:t>
      </w:r>
    </w:p>
    <w:p w14:paraId="5A879D2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方禁止在商铺内存放易燃易爆</w:t>
      </w:r>
      <w:r>
        <w:rPr>
          <w:rFonts w:hint="default" w:ascii="Times New Roman" w:hAnsi="Times New Roman" w:eastAsia="仿宋_GB2312" w:cs="Times New Roman"/>
          <w:color w:val="000000"/>
          <w:sz w:val="28"/>
          <w:szCs w:val="28"/>
          <w:lang w:eastAsia="zh-CN"/>
        </w:rPr>
        <w:t>、有毒有害危险化学品</w:t>
      </w:r>
      <w:r>
        <w:rPr>
          <w:rFonts w:hint="default" w:ascii="Times New Roman" w:hAnsi="Times New Roman" w:eastAsia="仿宋_GB2312" w:cs="Times New Roman"/>
          <w:color w:val="000000"/>
          <w:sz w:val="28"/>
          <w:szCs w:val="28"/>
        </w:rPr>
        <w:t>物品，一经发现</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有权没收</w:t>
      </w:r>
      <w:r>
        <w:rPr>
          <w:rFonts w:hint="default" w:ascii="Times New Roman" w:hAnsi="Times New Roman" w:eastAsia="仿宋_GB2312" w:cs="Times New Roman"/>
          <w:color w:val="000000"/>
          <w:sz w:val="28"/>
          <w:szCs w:val="28"/>
          <w:lang w:eastAsia="zh-CN"/>
        </w:rPr>
        <w:t>，</w:t>
      </w:r>
      <w:r>
        <w:rPr>
          <w:rFonts w:hint="eastAsia" w:ascii="Times New Roman" w:hAnsi="Times New Roman" w:eastAsia="仿宋_GB2312" w:cs="Times New Roman"/>
          <w:sz w:val="28"/>
          <w:szCs w:val="28"/>
          <w:lang w:val="en-US" w:eastAsia="zh-CN"/>
        </w:rPr>
        <w:t>涉及公安机关管理毒害性目录所列物品，甲方通知公安机关接收，</w:t>
      </w:r>
      <w:r>
        <w:rPr>
          <w:rFonts w:hint="default" w:ascii="Times New Roman" w:hAnsi="Times New Roman" w:eastAsia="仿宋_GB2312" w:cs="Times New Roman"/>
          <w:color w:val="000000"/>
          <w:sz w:val="28"/>
          <w:szCs w:val="28"/>
          <w:lang w:eastAsia="zh-CN"/>
        </w:rPr>
        <w:t>并有权单方面终止租赁合同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如因</w:t>
      </w:r>
      <w:r>
        <w:rPr>
          <w:rFonts w:hint="default" w:ascii="Times New Roman" w:hAnsi="Times New Roman" w:eastAsia="仿宋_GB2312" w:cs="Times New Roman"/>
          <w:color w:val="000000"/>
          <w:sz w:val="28"/>
          <w:szCs w:val="28"/>
          <w:lang w:eastAsia="zh-CN"/>
        </w:rPr>
        <w:t>公安</w:t>
      </w:r>
      <w:r>
        <w:rPr>
          <w:rFonts w:hint="default" w:ascii="Times New Roman" w:hAnsi="Times New Roman" w:eastAsia="仿宋_GB2312" w:cs="Times New Roman"/>
          <w:color w:val="000000"/>
          <w:sz w:val="28"/>
          <w:szCs w:val="28"/>
        </w:rPr>
        <w:t>消防部门责令整改而导致</w:t>
      </w:r>
      <w:r>
        <w:rPr>
          <w:rFonts w:hint="eastAsia"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不能经营</w:t>
      </w:r>
      <w:r>
        <w:rPr>
          <w:rFonts w:hint="eastAsia" w:ascii="Times New Roman" w:hAnsi="Times New Roman" w:eastAsia="仿宋_GB2312" w:cs="Times New Roman"/>
          <w:color w:val="000000"/>
          <w:sz w:val="28"/>
          <w:szCs w:val="28"/>
          <w:lang w:val="en-US" w:eastAsia="zh-CN"/>
        </w:rPr>
        <w:t>的</w:t>
      </w:r>
      <w:r>
        <w:rPr>
          <w:rFonts w:hint="default" w:ascii="Times New Roman" w:hAnsi="Times New Roman" w:eastAsia="仿宋_GB2312" w:cs="Times New Roman"/>
          <w:color w:val="000000"/>
          <w:sz w:val="28"/>
          <w:szCs w:val="28"/>
        </w:rPr>
        <w:t>与</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无关</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由此产生的经营损失由乙方自行承担</w:t>
      </w:r>
      <w:r>
        <w:rPr>
          <w:rFonts w:hint="default" w:ascii="Times New Roman" w:hAnsi="Times New Roman" w:eastAsia="仿宋_GB2312" w:cs="Times New Roman"/>
          <w:color w:val="000000"/>
          <w:sz w:val="28"/>
          <w:szCs w:val="28"/>
        </w:rPr>
        <w:t>。</w:t>
      </w:r>
    </w:p>
    <w:p w14:paraId="2115FE1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甲方组织对安全生产检查，监督乙方及时处理发现的各种安全隐患，甲方有权要求乙方对发生的安全隐患进行整改，如经甲方多次警告乙方仍未按要求进行整改的，甲方有权终止双方签订的租赁合同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rPr>
        <w:t>。</w:t>
      </w:r>
    </w:p>
    <w:p w14:paraId="53EEB38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6.因</w:t>
      </w:r>
      <w:r>
        <w:rPr>
          <w:rFonts w:hint="default" w:ascii="Times New Roman" w:hAnsi="Times New Roman" w:eastAsia="仿宋_GB2312" w:cs="Times New Roman"/>
          <w:color w:val="000000"/>
          <w:sz w:val="28"/>
          <w:szCs w:val="28"/>
          <w:u w:val="none"/>
        </w:rPr>
        <w:t>违章施工造成质量、工伤、火灾等事故</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val="en-US" w:eastAsia="zh-CN"/>
        </w:rPr>
        <w:t>及</w:t>
      </w:r>
      <w:r>
        <w:rPr>
          <w:rFonts w:hint="default" w:ascii="Times New Roman" w:hAnsi="Times New Roman" w:eastAsia="仿宋_GB2312" w:cs="Times New Roman"/>
          <w:color w:val="000000"/>
          <w:sz w:val="28"/>
          <w:szCs w:val="28"/>
          <w:u w:val="none"/>
          <w:lang w:eastAsia="zh-CN"/>
        </w:rPr>
        <w:t>装修方</w:t>
      </w:r>
      <w:r>
        <w:rPr>
          <w:rFonts w:hint="default" w:ascii="Times New Roman" w:hAnsi="Times New Roman" w:eastAsia="仿宋_GB2312" w:cs="Times New Roman"/>
          <w:color w:val="000000"/>
          <w:sz w:val="28"/>
          <w:szCs w:val="28"/>
          <w:u w:val="none"/>
        </w:rPr>
        <w:t>承担</w:t>
      </w:r>
      <w:r>
        <w:rPr>
          <w:rFonts w:hint="default" w:ascii="Times New Roman" w:hAnsi="Times New Roman" w:eastAsia="仿宋_GB2312" w:cs="Times New Roman"/>
          <w:color w:val="000000"/>
          <w:sz w:val="28"/>
          <w:szCs w:val="28"/>
          <w:u w:val="none"/>
          <w:lang w:eastAsia="zh-CN"/>
        </w:rPr>
        <w:t>一切</w:t>
      </w:r>
      <w:r>
        <w:rPr>
          <w:rFonts w:hint="default" w:ascii="Times New Roman" w:hAnsi="Times New Roman" w:eastAsia="仿宋_GB2312" w:cs="Times New Roman"/>
          <w:color w:val="000000"/>
          <w:sz w:val="28"/>
          <w:szCs w:val="28"/>
          <w:u w:val="none"/>
        </w:rPr>
        <w:t>责任。装修竣工后，经消防部门</w:t>
      </w:r>
      <w:r>
        <w:rPr>
          <w:rFonts w:hint="default" w:ascii="Times New Roman" w:hAnsi="Times New Roman" w:eastAsia="仿宋_GB2312" w:cs="Times New Roman"/>
          <w:color w:val="000000"/>
          <w:sz w:val="28"/>
          <w:szCs w:val="28"/>
          <w:u w:val="none"/>
          <w:lang w:eastAsia="zh-CN"/>
        </w:rPr>
        <w:t>验收</w:t>
      </w:r>
      <w:r>
        <w:rPr>
          <w:rFonts w:hint="default" w:ascii="Times New Roman" w:hAnsi="Times New Roman" w:eastAsia="仿宋_GB2312" w:cs="Times New Roman"/>
          <w:color w:val="000000"/>
          <w:sz w:val="28"/>
          <w:szCs w:val="28"/>
          <w:u w:val="none"/>
        </w:rPr>
        <w:t>取得合格证明文件后才能投入使用。消防部门</w:t>
      </w:r>
      <w:r>
        <w:rPr>
          <w:rFonts w:hint="default" w:ascii="Times New Roman" w:hAnsi="Times New Roman" w:eastAsia="仿宋_GB2312" w:cs="Times New Roman"/>
          <w:color w:val="000000"/>
          <w:sz w:val="28"/>
          <w:szCs w:val="28"/>
          <w:u w:val="none"/>
          <w:lang w:eastAsia="zh-CN"/>
        </w:rPr>
        <w:t>或</w:t>
      </w:r>
      <w:r>
        <w:rPr>
          <w:rFonts w:hint="default" w:ascii="Times New Roman" w:hAnsi="Times New Roman" w:eastAsia="仿宋_GB2312" w:cs="Times New Roman"/>
          <w:color w:val="000000"/>
          <w:sz w:val="28"/>
          <w:szCs w:val="28"/>
          <w:u w:val="none"/>
          <w:lang w:val="en-US" w:eastAsia="zh-CN"/>
        </w:rPr>
        <w:t>甲方</w:t>
      </w:r>
      <w:r>
        <w:rPr>
          <w:rFonts w:hint="default" w:ascii="Times New Roman" w:hAnsi="Times New Roman" w:eastAsia="仿宋_GB2312" w:cs="Times New Roman"/>
          <w:color w:val="000000"/>
          <w:sz w:val="28"/>
          <w:szCs w:val="28"/>
          <w:u w:val="none"/>
        </w:rPr>
        <w:t>验收</w:t>
      </w:r>
      <w:r>
        <w:rPr>
          <w:rFonts w:hint="default" w:ascii="Times New Roman" w:hAnsi="Times New Roman" w:eastAsia="仿宋_GB2312" w:cs="Times New Roman"/>
          <w:color w:val="000000"/>
          <w:sz w:val="28"/>
          <w:szCs w:val="28"/>
          <w:u w:val="none"/>
          <w:lang w:val="en-US" w:eastAsia="zh-CN"/>
        </w:rPr>
        <w:t>过程中</w:t>
      </w:r>
      <w:r>
        <w:rPr>
          <w:rFonts w:hint="default" w:ascii="Times New Roman" w:hAnsi="Times New Roman" w:eastAsia="仿宋_GB2312" w:cs="Times New Roman"/>
          <w:color w:val="000000"/>
          <w:sz w:val="28"/>
          <w:szCs w:val="28"/>
          <w:u w:val="none"/>
        </w:rPr>
        <w:t>存在的不完善、不合格项</w:t>
      </w:r>
      <w:r>
        <w:rPr>
          <w:rFonts w:hint="default" w:ascii="Times New Roman" w:hAnsi="Times New Roman" w:eastAsia="仿宋_GB2312" w:cs="Times New Roman"/>
          <w:color w:val="000000"/>
          <w:sz w:val="28"/>
          <w:szCs w:val="28"/>
          <w:u w:val="none"/>
          <w:lang w:eastAsia="zh-CN"/>
        </w:rPr>
        <w:t>，乙方</w:t>
      </w:r>
      <w:r>
        <w:rPr>
          <w:rFonts w:hint="default" w:ascii="Times New Roman" w:hAnsi="Times New Roman" w:eastAsia="仿宋_GB2312" w:cs="Times New Roman"/>
          <w:color w:val="000000"/>
          <w:sz w:val="28"/>
          <w:szCs w:val="28"/>
          <w:u w:val="none"/>
        </w:rPr>
        <w:t>应按消防安全规范整改至符合规范要求后，方可投入使用</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否则</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由此产生的后果</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eastAsia="zh-CN"/>
        </w:rPr>
        <w:t>自负</w:t>
      </w:r>
      <w:r>
        <w:rPr>
          <w:rFonts w:hint="default" w:ascii="Times New Roman" w:hAnsi="Times New Roman" w:eastAsia="仿宋_GB2312" w:cs="Times New Roman"/>
          <w:color w:val="000000"/>
          <w:sz w:val="28"/>
          <w:szCs w:val="28"/>
          <w:u w:val="none"/>
        </w:rPr>
        <w:t>。</w:t>
      </w:r>
    </w:p>
    <w:p w14:paraId="2CA8A07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7、乙方违反法律法规规定、违反本协议约定的，一切法律责任和损失均由乙方承担，如造成甲方损失的，乙方应予赔偿；同时，甲方有权单方解除甲乙双方签订的《物业租赁合同》等合同。</w:t>
      </w:r>
    </w:p>
    <w:p w14:paraId="7EEB3C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四、其他要求</w:t>
      </w:r>
    </w:p>
    <w:p w14:paraId="63B6E7F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本协议作为物业租赁合同的附件，有效时间为双方签订日期起至物业租赁合同约定的租赁期限届满之日结束。</w:t>
      </w:r>
    </w:p>
    <w:p w14:paraId="584907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p>
    <w:p w14:paraId="7487F9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乙方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p>
    <w:p w14:paraId="2DB48F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法定代表人或代理人：</w:t>
      </w:r>
    </w:p>
    <w:p w14:paraId="678CCC02">
      <w:pPr>
        <w:keepNext w:val="0"/>
        <w:keepLines w:val="0"/>
        <w:pageBreakBefore w:val="0"/>
        <w:widowControl w:val="0"/>
        <w:kinsoku/>
        <w:wordWrap/>
        <w:overflowPunct/>
        <w:topLinePunct w:val="0"/>
        <w:bidi w:val="0"/>
        <w:adjustRightInd/>
        <w:snapToGrid/>
        <w:spacing w:line="480" w:lineRule="exact"/>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p>
    <w:sectPr>
      <w:headerReference r:id="rId4" w:type="first"/>
      <w:headerReference r:id="rId3" w:type="default"/>
      <w:footerReference r:id="rId5" w:type="default"/>
      <w:pgSz w:w="11906" w:h="16838"/>
      <w:pgMar w:top="2098" w:right="1587"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14:paraId="3F952B5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69BE">
    <w:pPr>
      <w:pStyle w:val="8"/>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DEAA">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NzEwYjM3M2IyODk5MGM5ZDI2NjEzZGVhNTcxZTM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1380D"/>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B06584"/>
    <w:rsid w:val="02B5186C"/>
    <w:rsid w:val="02D54800"/>
    <w:rsid w:val="035536A1"/>
    <w:rsid w:val="03830824"/>
    <w:rsid w:val="04115E30"/>
    <w:rsid w:val="050D558E"/>
    <w:rsid w:val="05B23907"/>
    <w:rsid w:val="065546FA"/>
    <w:rsid w:val="06B14C24"/>
    <w:rsid w:val="07E57BD9"/>
    <w:rsid w:val="08055909"/>
    <w:rsid w:val="0898267C"/>
    <w:rsid w:val="0994310F"/>
    <w:rsid w:val="09E71B0D"/>
    <w:rsid w:val="0ACC6F70"/>
    <w:rsid w:val="0AFD710E"/>
    <w:rsid w:val="0C503A6E"/>
    <w:rsid w:val="0DD0630B"/>
    <w:rsid w:val="0DE72D5C"/>
    <w:rsid w:val="0F421593"/>
    <w:rsid w:val="101A606C"/>
    <w:rsid w:val="10E63A7E"/>
    <w:rsid w:val="122E1209"/>
    <w:rsid w:val="13854D45"/>
    <w:rsid w:val="13D91819"/>
    <w:rsid w:val="16A83AD1"/>
    <w:rsid w:val="1706405D"/>
    <w:rsid w:val="17183E84"/>
    <w:rsid w:val="175B0ADF"/>
    <w:rsid w:val="183314EC"/>
    <w:rsid w:val="191029F8"/>
    <w:rsid w:val="19B51B1B"/>
    <w:rsid w:val="19C567A2"/>
    <w:rsid w:val="1AA10C51"/>
    <w:rsid w:val="1B813697"/>
    <w:rsid w:val="1C0F4EF3"/>
    <w:rsid w:val="1C316301"/>
    <w:rsid w:val="1C4A12B3"/>
    <w:rsid w:val="1D0C4F8F"/>
    <w:rsid w:val="1E634270"/>
    <w:rsid w:val="1F4E188E"/>
    <w:rsid w:val="1F8B4890"/>
    <w:rsid w:val="1FD13B2F"/>
    <w:rsid w:val="1FE45541"/>
    <w:rsid w:val="202E495E"/>
    <w:rsid w:val="20325F7E"/>
    <w:rsid w:val="209363F7"/>
    <w:rsid w:val="20E61F3C"/>
    <w:rsid w:val="215F5FD5"/>
    <w:rsid w:val="217F0425"/>
    <w:rsid w:val="21A02E6A"/>
    <w:rsid w:val="225B49EE"/>
    <w:rsid w:val="22F26D1E"/>
    <w:rsid w:val="23B81AA9"/>
    <w:rsid w:val="2425772A"/>
    <w:rsid w:val="24FE5B05"/>
    <w:rsid w:val="25B03787"/>
    <w:rsid w:val="25D76220"/>
    <w:rsid w:val="25F14262"/>
    <w:rsid w:val="2650517F"/>
    <w:rsid w:val="265D19A5"/>
    <w:rsid w:val="27182EAE"/>
    <w:rsid w:val="27426ADC"/>
    <w:rsid w:val="27C61414"/>
    <w:rsid w:val="27E70DC8"/>
    <w:rsid w:val="27E92A9C"/>
    <w:rsid w:val="285D7DE8"/>
    <w:rsid w:val="286A29BF"/>
    <w:rsid w:val="288960CD"/>
    <w:rsid w:val="29DA6B28"/>
    <w:rsid w:val="2A49534C"/>
    <w:rsid w:val="2A4A1F9D"/>
    <w:rsid w:val="2A673586"/>
    <w:rsid w:val="2AF7727E"/>
    <w:rsid w:val="2B816DC5"/>
    <w:rsid w:val="2D1A0AEC"/>
    <w:rsid w:val="2DE25FC3"/>
    <w:rsid w:val="2E460CD2"/>
    <w:rsid w:val="2E5162D9"/>
    <w:rsid w:val="2FA8323D"/>
    <w:rsid w:val="309524E0"/>
    <w:rsid w:val="31065963"/>
    <w:rsid w:val="312F2517"/>
    <w:rsid w:val="31441D2E"/>
    <w:rsid w:val="31910922"/>
    <w:rsid w:val="31CF16E8"/>
    <w:rsid w:val="3249213F"/>
    <w:rsid w:val="325B4596"/>
    <w:rsid w:val="328E6EF6"/>
    <w:rsid w:val="34B85623"/>
    <w:rsid w:val="35B879B7"/>
    <w:rsid w:val="369D2B51"/>
    <w:rsid w:val="377F356D"/>
    <w:rsid w:val="38AF5F9D"/>
    <w:rsid w:val="38B35082"/>
    <w:rsid w:val="390A2872"/>
    <w:rsid w:val="39317DFF"/>
    <w:rsid w:val="3A571AE7"/>
    <w:rsid w:val="3B3268D3"/>
    <w:rsid w:val="3B4200A1"/>
    <w:rsid w:val="3B7FCDB9"/>
    <w:rsid w:val="3BB80364"/>
    <w:rsid w:val="3BFC2946"/>
    <w:rsid w:val="3C771FCD"/>
    <w:rsid w:val="3D346190"/>
    <w:rsid w:val="3DBC276D"/>
    <w:rsid w:val="3DEE2870"/>
    <w:rsid w:val="3DFF5F32"/>
    <w:rsid w:val="3E686071"/>
    <w:rsid w:val="3E78272F"/>
    <w:rsid w:val="3E9522AF"/>
    <w:rsid w:val="3EC2024E"/>
    <w:rsid w:val="3F254C4D"/>
    <w:rsid w:val="3F814D72"/>
    <w:rsid w:val="3FE958DF"/>
    <w:rsid w:val="40165BC2"/>
    <w:rsid w:val="409969B6"/>
    <w:rsid w:val="423521CF"/>
    <w:rsid w:val="43470CBD"/>
    <w:rsid w:val="437B2CDC"/>
    <w:rsid w:val="43A74D15"/>
    <w:rsid w:val="441F5A1C"/>
    <w:rsid w:val="47A821BB"/>
    <w:rsid w:val="4A0E37FC"/>
    <w:rsid w:val="4BCB7C3F"/>
    <w:rsid w:val="4D9F75D5"/>
    <w:rsid w:val="4E1E1761"/>
    <w:rsid w:val="4EED07DE"/>
    <w:rsid w:val="4F0C5F5B"/>
    <w:rsid w:val="4F754A92"/>
    <w:rsid w:val="4F840831"/>
    <w:rsid w:val="51223DF8"/>
    <w:rsid w:val="51E7154B"/>
    <w:rsid w:val="52960A2E"/>
    <w:rsid w:val="53544A29"/>
    <w:rsid w:val="5415239F"/>
    <w:rsid w:val="54492912"/>
    <w:rsid w:val="54FD5C2B"/>
    <w:rsid w:val="551D3E24"/>
    <w:rsid w:val="55B31E70"/>
    <w:rsid w:val="57FFC379"/>
    <w:rsid w:val="5962099E"/>
    <w:rsid w:val="59AC7302"/>
    <w:rsid w:val="5AA81D1C"/>
    <w:rsid w:val="5C2A4A94"/>
    <w:rsid w:val="5C3435DF"/>
    <w:rsid w:val="5D0C102F"/>
    <w:rsid w:val="5D5C0FB3"/>
    <w:rsid w:val="5D883BB7"/>
    <w:rsid w:val="5DB94823"/>
    <w:rsid w:val="5E0D2339"/>
    <w:rsid w:val="5E4549AB"/>
    <w:rsid w:val="5E5D5F81"/>
    <w:rsid w:val="5E802B0B"/>
    <w:rsid w:val="5F88069A"/>
    <w:rsid w:val="60031C46"/>
    <w:rsid w:val="606647BC"/>
    <w:rsid w:val="608763D3"/>
    <w:rsid w:val="609A4358"/>
    <w:rsid w:val="61092719"/>
    <w:rsid w:val="626A7D5A"/>
    <w:rsid w:val="627209BD"/>
    <w:rsid w:val="62E74C44"/>
    <w:rsid w:val="632F68AE"/>
    <w:rsid w:val="636F36FE"/>
    <w:rsid w:val="63A246F9"/>
    <w:rsid w:val="64A820FF"/>
    <w:rsid w:val="657D7201"/>
    <w:rsid w:val="66B4445B"/>
    <w:rsid w:val="67642B57"/>
    <w:rsid w:val="67D153AD"/>
    <w:rsid w:val="68356714"/>
    <w:rsid w:val="690031C6"/>
    <w:rsid w:val="691B31C9"/>
    <w:rsid w:val="6A721EA2"/>
    <w:rsid w:val="6A8E3966"/>
    <w:rsid w:val="6CE67E6C"/>
    <w:rsid w:val="6D34343E"/>
    <w:rsid w:val="6D496D0C"/>
    <w:rsid w:val="6E14500D"/>
    <w:rsid w:val="6E526272"/>
    <w:rsid w:val="6E530EEA"/>
    <w:rsid w:val="6E9B78C5"/>
    <w:rsid w:val="6EE8757A"/>
    <w:rsid w:val="6F7A7103"/>
    <w:rsid w:val="6FE5391B"/>
    <w:rsid w:val="70319270"/>
    <w:rsid w:val="709A5CAE"/>
    <w:rsid w:val="709B37D5"/>
    <w:rsid w:val="7143265A"/>
    <w:rsid w:val="71A33A1F"/>
    <w:rsid w:val="71C57B3B"/>
    <w:rsid w:val="71F238C8"/>
    <w:rsid w:val="72F80541"/>
    <w:rsid w:val="736B0808"/>
    <w:rsid w:val="741557F6"/>
    <w:rsid w:val="7455628A"/>
    <w:rsid w:val="74DF02A0"/>
    <w:rsid w:val="756A22A0"/>
    <w:rsid w:val="759E7FEF"/>
    <w:rsid w:val="760360A4"/>
    <w:rsid w:val="76353B62"/>
    <w:rsid w:val="76C515AB"/>
    <w:rsid w:val="775F43DD"/>
    <w:rsid w:val="77701517"/>
    <w:rsid w:val="778C33EC"/>
    <w:rsid w:val="787D213D"/>
    <w:rsid w:val="7B123BC7"/>
    <w:rsid w:val="7B7A5456"/>
    <w:rsid w:val="7C1D2989"/>
    <w:rsid w:val="7C3A0345"/>
    <w:rsid w:val="7C705B15"/>
    <w:rsid w:val="7CFEB508"/>
    <w:rsid w:val="7EFE041F"/>
    <w:rsid w:val="7F5AA93B"/>
    <w:rsid w:val="7FB96702"/>
    <w:rsid w:val="FDFE1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style>
  <w:style w:type="paragraph" w:styleId="4">
    <w:name w:val="Body Text"/>
    <w:basedOn w:val="1"/>
    <w:link w:val="19"/>
    <w:qFormat/>
    <w:uiPriority w:val="0"/>
    <w:pPr>
      <w:jc w:val="left"/>
    </w:pPr>
    <w:rPr>
      <w:sz w:val="24"/>
    </w:rPr>
  </w:style>
  <w:style w:type="paragraph" w:styleId="5">
    <w:name w:val="Body Text Indent"/>
    <w:basedOn w:val="1"/>
    <w:qFormat/>
    <w:uiPriority w:val="0"/>
    <w:pPr>
      <w:spacing w:after="120"/>
      <w:ind w:left="420"/>
    </w:pPr>
  </w:style>
  <w:style w:type="paragraph" w:styleId="6">
    <w:name w:val="Balloon Text"/>
    <w:basedOn w:val="1"/>
    <w:link w:val="26"/>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rFonts w:ascii="等线" w:hAnsi="等线" w:cs="宋体"/>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5"/>
    <w:qFormat/>
    <w:uiPriority w:val="0"/>
    <w:rPr>
      <w:b/>
      <w:bCs/>
    </w:rPr>
  </w:style>
  <w:style w:type="paragraph" w:styleId="11">
    <w:name w:val="Body Text First Indent 2"/>
    <w:basedOn w:val="5"/>
    <w:qFormat/>
    <w:uiPriority w:val="0"/>
    <w:pPr>
      <w:ind w:firstLine="21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character" w:customStyle="1" w:styleId="18">
    <w:name w:val="页脚 字符"/>
    <w:link w:val="7"/>
    <w:qFormat/>
    <w:uiPriority w:val="0"/>
    <w:rPr>
      <w:rFonts w:eastAsia="宋体"/>
      <w:sz w:val="18"/>
      <w:szCs w:val="18"/>
    </w:rPr>
  </w:style>
  <w:style w:type="character" w:customStyle="1" w:styleId="19">
    <w:name w:val="正文文本 字符"/>
    <w:basedOn w:val="14"/>
    <w:link w:val="4"/>
    <w:qFormat/>
    <w:uiPriority w:val="0"/>
    <w:rPr>
      <w:rFonts w:ascii="Times New Roman" w:hAnsi="Times New Roman" w:eastAsia="宋体" w:cs="Times New Roman"/>
      <w:sz w:val="24"/>
      <w:szCs w:val="24"/>
    </w:rPr>
  </w:style>
  <w:style w:type="character" w:customStyle="1" w:styleId="20">
    <w:name w:val="页脚 字符1"/>
    <w:basedOn w:val="14"/>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未处理的提及1"/>
    <w:basedOn w:val="14"/>
    <w:semiHidden/>
    <w:unhideWhenUsed/>
    <w:qFormat/>
    <w:uiPriority w:val="99"/>
    <w:rPr>
      <w:color w:val="605E5C"/>
      <w:shd w:val="clear" w:color="auto" w:fill="E1DFDD"/>
    </w:rPr>
  </w:style>
  <w:style w:type="character" w:customStyle="1" w:styleId="23">
    <w:name w:val="页眉 字符"/>
    <w:basedOn w:val="14"/>
    <w:link w:val="8"/>
    <w:qFormat/>
    <w:uiPriority w:val="0"/>
    <w:rPr>
      <w:kern w:val="2"/>
      <w:sz w:val="18"/>
      <w:szCs w:val="18"/>
    </w:rPr>
  </w:style>
  <w:style w:type="character" w:customStyle="1" w:styleId="24">
    <w:name w:val="批注文字 字符"/>
    <w:basedOn w:val="14"/>
    <w:link w:val="3"/>
    <w:qFormat/>
    <w:uiPriority w:val="0"/>
    <w:rPr>
      <w:kern w:val="2"/>
      <w:sz w:val="21"/>
      <w:szCs w:val="24"/>
    </w:rPr>
  </w:style>
  <w:style w:type="character" w:customStyle="1" w:styleId="25">
    <w:name w:val="批注主题 字符"/>
    <w:basedOn w:val="24"/>
    <w:link w:val="10"/>
    <w:qFormat/>
    <w:uiPriority w:val="0"/>
    <w:rPr>
      <w:b/>
      <w:bCs/>
      <w:kern w:val="2"/>
      <w:sz w:val="21"/>
      <w:szCs w:val="24"/>
    </w:rPr>
  </w:style>
  <w:style w:type="character" w:customStyle="1" w:styleId="26">
    <w:name w:val="批注框文本 字符"/>
    <w:basedOn w:val="14"/>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10209</Words>
  <Characters>10624</Characters>
  <Lines>46</Lines>
  <Paragraphs>13</Paragraphs>
  <TotalTime>1</TotalTime>
  <ScaleCrop>false</ScaleCrop>
  <LinksUpToDate>false</LinksUpToDate>
  <CharactersWithSpaces>10797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2022-08-22T23:32:00Z</dcterms:created>
  <dc:creator>梁 小军</dc:creator>
  <cp:lastModifiedBy>Balance.</cp:lastModifiedBy>
  <cp:lastPrinted>2025-12-02T08:55:00Z</cp:lastPrinted>
  <dcterms:modified xsi:type="dcterms:W3CDTF">2026-01-26T02:24:17Z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E48E44DE112230FF804EF768B499D96A_43</vt:lpwstr>
  </property>
  <property fmtid="{D5CDD505-2E9C-101B-9397-08002B2CF9AE}" pid="4" name="KSOTemplateDocerSaveRecord">
    <vt:lpwstr>eyJoZGlkIjoiYzk4ZGQwMThiOGE2NjJkNzRlOGI2MWJmMGExZmJlZjQiLCJ1c2VySWQiOiI0MTM0MDQwMDIifQ==</vt:lpwstr>
  </property>
</Properties>
</file>