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A1E5B">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14:paraId="6FC3562D">
      <w:pPr>
        <w:jc w:val="center"/>
        <w:rPr>
          <w:rFonts w:hint="eastAsia" w:ascii="仿宋" w:hAnsi="仿宋" w:eastAsia="仿宋" w:cs="仿宋"/>
          <w:b/>
          <w:kern w:val="0"/>
          <w:sz w:val="30"/>
          <w:szCs w:val="30"/>
        </w:rPr>
      </w:pPr>
    </w:p>
    <w:p w14:paraId="15DC3D8A">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14:paraId="23ECF50D">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w:t>
      </w:r>
      <w:bookmarkStart w:id="0" w:name="_GoBack"/>
      <w:bookmarkEnd w:id="0"/>
      <w:r>
        <w:rPr>
          <w:rFonts w:hint="eastAsia" w:ascii="仿宋" w:hAnsi="仿宋" w:eastAsia="仿宋" w:cs="MS Gothic"/>
          <w:sz w:val="30"/>
          <w:szCs w:val="30"/>
        </w:rPr>
        <w:t xml:space="preserve">返回打入资金账户。 我方依照公开、公平、公正、诚实的原则，作出如下承诺： </w:t>
      </w:r>
    </w:p>
    <w:p w14:paraId="1DC48F3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14:paraId="16CB77F4">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14:paraId="352ECD61">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14:paraId="0A2A06A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14:paraId="682F20F8">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14:paraId="70C1534A">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14:paraId="10584132">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14:paraId="7D821B99">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14:paraId="5B3C0DC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14:paraId="5457D54C">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14:paraId="172E9C05">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14:paraId="10C7D5C6">
      <w:pPr>
        <w:spacing w:line="360" w:lineRule="auto"/>
        <w:ind w:firstLine="600" w:firstLineChars="200"/>
        <w:rPr>
          <w:rFonts w:hint="eastAsia" w:ascii="仿宋" w:hAnsi="仿宋" w:eastAsia="仿宋" w:cs="MS Gothic"/>
          <w:sz w:val="30"/>
          <w:szCs w:val="30"/>
        </w:rPr>
      </w:pPr>
    </w:p>
    <w:p w14:paraId="784D9F2E">
      <w:pPr>
        <w:spacing w:line="360" w:lineRule="auto"/>
        <w:ind w:firstLine="600" w:firstLineChars="200"/>
        <w:rPr>
          <w:rFonts w:hint="eastAsia" w:ascii="仿宋" w:hAnsi="仿宋" w:eastAsia="仿宋" w:cs="MS Gothic"/>
          <w:sz w:val="30"/>
          <w:szCs w:val="30"/>
        </w:rPr>
      </w:pPr>
    </w:p>
    <w:p w14:paraId="0B01B8E3">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14:paraId="621EC291">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14:paraId="0A3D260D">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14:paraId="433B95D0"/>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32F068C8"/>
    <w:rsid w:val="35AC58AD"/>
    <w:rsid w:val="42730B91"/>
    <w:rsid w:val="440B3937"/>
    <w:rsid w:val="4B30544A"/>
    <w:rsid w:val="4B817DD6"/>
    <w:rsid w:val="4D655C03"/>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3</Pages>
  <Words>1244</Words>
  <Characters>1253</Characters>
  <Lines>9</Lines>
  <Paragraphs>2</Paragraphs>
  <TotalTime>1</TotalTime>
  <ScaleCrop>false</ScaleCrop>
  <LinksUpToDate>false</LinksUpToDate>
  <CharactersWithSpaces>1277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鱼皮饺</cp:lastModifiedBy>
  <cp:lastPrinted>2023-01-12T03:54:00Z</cp:lastPrinted>
  <dcterms:modified xsi:type="dcterms:W3CDTF">2025-03-28T06:06:31Z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45775B08EC2C4A63AA063E413F9938A1</vt:lpwstr>
  </property>
  <property fmtid="{D5CDD505-2E9C-101B-9397-08002B2CF9AE}" pid="4" name="KSOTemplateDocerSaveRecord">
    <vt:lpwstr>eyJoZGlkIjoiNmE1ZGU5MjE5NTk1ZWRlYWQwOWI0ZjUxZDNmZWI2ZTkiLCJ1c2VySWQiOiI0MDMzNDM0NzEifQ==</vt:lpwstr>
  </property>
</Properties>
</file>