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9BE30BA"/>
    <w:rsid w:val="0A6250DE"/>
    <w:rsid w:val="0C48357E"/>
    <w:rsid w:val="0D8538FD"/>
    <w:rsid w:val="11780E87"/>
    <w:rsid w:val="1281703D"/>
    <w:rsid w:val="1324271B"/>
    <w:rsid w:val="15C3273B"/>
    <w:rsid w:val="1A34170F"/>
    <w:rsid w:val="1A6C1DC4"/>
    <w:rsid w:val="1CA6084E"/>
    <w:rsid w:val="1CC3751A"/>
    <w:rsid w:val="1EAC7EA1"/>
    <w:rsid w:val="1FF76E10"/>
    <w:rsid w:val="20E97F02"/>
    <w:rsid w:val="21A42667"/>
    <w:rsid w:val="220E7373"/>
    <w:rsid w:val="23103A2A"/>
    <w:rsid w:val="289577F3"/>
    <w:rsid w:val="28C16751"/>
    <w:rsid w:val="28D9032F"/>
    <w:rsid w:val="304F36B8"/>
    <w:rsid w:val="312364AC"/>
    <w:rsid w:val="32CA3645"/>
    <w:rsid w:val="32F1681F"/>
    <w:rsid w:val="33BD70D8"/>
    <w:rsid w:val="3D561EA3"/>
    <w:rsid w:val="3E9B5F75"/>
    <w:rsid w:val="3ECD0378"/>
    <w:rsid w:val="3FC25309"/>
    <w:rsid w:val="405D34CF"/>
    <w:rsid w:val="43525542"/>
    <w:rsid w:val="440C15F3"/>
    <w:rsid w:val="4B431644"/>
    <w:rsid w:val="4C201DEA"/>
    <w:rsid w:val="4E3E7C8C"/>
    <w:rsid w:val="4F0402DB"/>
    <w:rsid w:val="50ED261A"/>
    <w:rsid w:val="52DC525A"/>
    <w:rsid w:val="56DB6EC2"/>
    <w:rsid w:val="589039BD"/>
    <w:rsid w:val="59432BF7"/>
    <w:rsid w:val="5A464ACF"/>
    <w:rsid w:val="5A7A6336"/>
    <w:rsid w:val="5A932270"/>
    <w:rsid w:val="5CA02262"/>
    <w:rsid w:val="5CEE5E83"/>
    <w:rsid w:val="5D7153EF"/>
    <w:rsid w:val="64411DDA"/>
    <w:rsid w:val="66A242BF"/>
    <w:rsid w:val="66FF20FD"/>
    <w:rsid w:val="68345EEA"/>
    <w:rsid w:val="69B433F9"/>
    <w:rsid w:val="6D173CA6"/>
    <w:rsid w:val="6D535020"/>
    <w:rsid w:val="6F032CF9"/>
    <w:rsid w:val="706B2451"/>
    <w:rsid w:val="71047D83"/>
    <w:rsid w:val="72451623"/>
    <w:rsid w:val="77275B32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2671</Characters>
  <Lines>20</Lines>
  <Paragraphs>5</Paragraphs>
  <TotalTime>8</TotalTime>
  <ScaleCrop>false</ScaleCrop>
  <LinksUpToDate>false</LinksUpToDate>
  <CharactersWithSpaces>2692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Jasmin</cp:lastModifiedBy>
  <dcterms:modified xsi:type="dcterms:W3CDTF">2023-11-16T00:50:36Z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0EBFDC7C097A4806BD10A4031A4F5F10</vt:lpwstr>
  </property>
</Properties>
</file>