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jc w:val="center"/>
        <w:rPr>
          <w:sz w:val="32"/>
          <w:szCs w:val="32"/>
        </w:rPr>
      </w:pPr>
      <w:r>
        <w:rPr>
          <w:rFonts w:ascii="方正小标宋简体" w:hAnsi="方正小标宋简体" w:eastAsia="方正小标宋简体" w:cs="方正小标宋简体"/>
          <w:sz w:val="32"/>
          <w:szCs w:val="32"/>
        </w:rPr>
        <w:t>交易须知</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一、限时竞价风险提示</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为保障网上限时竞价交易的顺利进行，避免因网络、计算机等设备故障导致交易失败情况的发生，建议用户在限时竞价前做好如下准备：</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(一)尽量使用配置高、性能好、稳定性强的网络及计算机设备，计算机操作系统干净、无病毒、无木马，保证所用网络及计算机设备的散热良好、电源电压稳定，系统整体运行一直稳定无异常。</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(二)</w:t>
      </w:r>
      <w:r>
        <w:rPr>
          <w:rFonts w:hint="eastAsia" w:ascii="仿宋" w:hAnsi="仿宋" w:eastAsia="仿宋" w:cs="仿宋"/>
          <w:color w:val="FF0000"/>
          <w:sz w:val="24"/>
          <w:szCs w:val="24"/>
        </w:rPr>
        <w:t>建议使用Edge、谷歌、ie11浏览器登录，</w:t>
      </w:r>
      <w:r>
        <w:rPr>
          <w:rFonts w:hint="eastAsia" w:ascii="仿宋" w:hAnsi="仿宋" w:eastAsia="仿宋" w:cs="仿宋"/>
          <w:sz w:val="24"/>
          <w:szCs w:val="24"/>
        </w:rPr>
        <w:t>如使用其他版本的浏览器，有可能造成意外情况发生。</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三)所用网络应保持通畅，优先保障网上交易的进行，尽量避免文件下载、播放视频等占用网络带宽的情况；谨慎使用共享宽带上网交易，此种方式容易受到其他设备占用网络带宽，从而造成网络堵塞而无法顺畅的访问交易系统；如所用网络曾多次发生掉线或异常情况的，请尽量避免使用。</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(四)额外准备一台备用机，该备用机使用其它上网途径，如异地或</w:t>
      </w:r>
      <w:r>
        <w:rPr>
          <w:rFonts w:hint="eastAsia" w:ascii="仿宋" w:hAnsi="仿宋" w:eastAsia="仿宋" w:cs="仿宋"/>
          <w:color w:val="FF0000"/>
          <w:sz w:val="24"/>
          <w:szCs w:val="24"/>
          <w:lang w:eastAsia="zh-CN"/>
        </w:rPr>
        <w:t>手机流量</w:t>
      </w:r>
      <w:r>
        <w:rPr>
          <w:rFonts w:hint="eastAsia" w:ascii="仿宋" w:hAnsi="仿宋" w:eastAsia="仿宋" w:cs="仿宋"/>
          <w:color w:val="FF0000"/>
          <w:sz w:val="24"/>
          <w:szCs w:val="24"/>
        </w:rPr>
        <w:t>上网</w:t>
      </w:r>
      <w:r>
        <w:rPr>
          <w:rFonts w:hint="eastAsia" w:ascii="仿宋" w:hAnsi="仿宋" w:eastAsia="仿宋" w:cs="仿宋"/>
          <w:sz w:val="24"/>
          <w:szCs w:val="24"/>
        </w:rPr>
        <w:t>等，当主用机出现异常时，立即切换到备用机继续交易。</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五)在限时竞价阶段，尽量预留出足以发现异常和转到备用机继续交易的时间(例如竞价周期为5分钟，建议最好预留3分钟以上的时间)，切忌临近倒计时结束才出价，避免因突发异常而导致不够时间处理的情况发生。</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二、标的按现状进行交易</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(一)受委托方委托，本次动态报价标的均是按其现状进行报价。有关标的资料是对标的的一般性介绍，仅供竞买人参考。</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(二)竞买人在参加动态报价活动之前，应对转让标的进行全面充分的了解，接受交易中心已公布的对竞买人的要求和相关条件，对自己的报价行为负责，动态报价实施后不得以不了解所竞得标的状况为由反悔。</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三、按时交纳竞价保证金</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竞买人须在报名起止时间内，交纳规定的竞价保证金到交易系统推送的保证金账户，由交易系统确认到账后自动获得报价资格</w:t>
      </w:r>
      <w:r>
        <w:rPr>
          <w:rFonts w:hint="eastAsia" w:ascii="仿宋" w:hAnsi="仿宋" w:eastAsia="仿宋" w:cs="仿宋"/>
          <w:color w:val="FF0000"/>
          <w:sz w:val="24"/>
          <w:szCs w:val="24"/>
        </w:rPr>
        <w:t>(</w:t>
      </w:r>
      <w:r>
        <w:rPr>
          <w:rFonts w:hint="eastAsia" w:ascii="仿宋" w:hAnsi="仿宋" w:eastAsia="仿宋" w:cs="仿宋"/>
          <w:color w:val="FF0000"/>
          <w:sz w:val="24"/>
          <w:szCs w:val="24"/>
          <w:lang w:eastAsia="zh-CN"/>
        </w:rPr>
        <w:t>相关推送与确认需要一定时间，因此，交纳竞价保证金请注意适当提前</w:t>
      </w:r>
      <w:r>
        <w:rPr>
          <w:rFonts w:hint="eastAsia" w:ascii="仿宋" w:hAnsi="仿宋" w:eastAsia="仿宋" w:cs="仿宋"/>
          <w:color w:val="FF0000"/>
          <w:sz w:val="24"/>
          <w:szCs w:val="24"/>
        </w:rPr>
        <w:t>)</w:t>
      </w:r>
      <w:r>
        <w:rPr>
          <w:rFonts w:hint="eastAsia" w:ascii="仿宋" w:hAnsi="仿宋" w:eastAsia="仿宋" w:cs="仿宋"/>
          <w:sz w:val="24"/>
          <w:szCs w:val="24"/>
        </w:rPr>
        <w:t>。</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四、报价方式</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分自由竞价和限时竞价两个阶段。</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(一)自由竞价</w:t>
      </w:r>
      <w:r>
        <w:rPr>
          <w:rFonts w:hint="eastAsia" w:ascii="仿宋" w:hAnsi="仿宋" w:eastAsia="仿宋" w:cs="仿宋"/>
          <w:sz w:val="24"/>
          <w:szCs w:val="24"/>
        </w:rPr>
        <w:t>。自由竞价期起止时间内，竞买人可以对标的充分报价，报价只要高于现有最高报价（首次报价不低于起始价），且高出部分构成加价幅度的整数倍， 即为有效报价。</w:t>
      </w:r>
      <w:r>
        <w:rPr>
          <w:rStyle w:val="7"/>
          <w:rFonts w:hint="eastAsia" w:ascii="仿宋" w:hAnsi="仿宋" w:eastAsia="仿宋" w:cs="仿宋"/>
          <w:sz w:val="24"/>
          <w:szCs w:val="24"/>
        </w:rPr>
        <w:t>在自由竞价期，竞买人必须经过一次有效报价方有资格参加限时竞价。</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(二)限时竞价</w:t>
      </w:r>
      <w:r>
        <w:rPr>
          <w:rFonts w:hint="eastAsia" w:ascii="仿宋" w:hAnsi="仿宋" w:eastAsia="仿宋" w:cs="仿宋"/>
          <w:sz w:val="24"/>
          <w:szCs w:val="24"/>
        </w:rPr>
        <w:t>。自由竞价期结束后，随即进入5分钟限时竞价询问环节并询问所有参与报价的竞买人是否参加限时竞价。询问期从自由报价截止时开始，竞买人均有5 分钟考虑时间。在自由竞价期，最高报价的竞买人将自动获取限时竞价竞买资格。若在第一个限时报价周期内未出现有效报价，则当前的最高出价者即为该报价标的的中标方，报价结束；若在第一个限时报价周期(限时报价周期为5分钟)内出现有效报价，则进入新的限时报价周期，直至最后一个限时报价周期内没有新的有效报价出现为止，当前限时报价期内最高有效报价的竞买人即成为中标方。</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lang w:eastAsia="zh-CN"/>
        </w:rPr>
      </w:pPr>
      <w:r>
        <w:rPr>
          <w:rFonts w:hint="eastAsia" w:ascii="仿宋" w:hAnsi="仿宋" w:eastAsia="仿宋" w:cs="仿宋"/>
          <w:sz w:val="24"/>
          <w:szCs w:val="24"/>
        </w:rPr>
        <w:t>五、办理交易成交手续</w:t>
      </w:r>
      <w:r>
        <w:rPr>
          <w:rFonts w:hint="eastAsia" w:ascii="仿宋" w:hAnsi="仿宋" w:eastAsia="仿宋" w:cs="仿宋"/>
          <w:sz w:val="24"/>
          <w:szCs w:val="24"/>
          <w:lang w:eastAsia="zh-CN"/>
        </w:rPr>
        <w:t>和</w:t>
      </w:r>
      <w:r>
        <w:rPr>
          <w:rFonts w:hint="eastAsia" w:ascii="仿宋" w:hAnsi="仿宋" w:eastAsia="仿宋" w:cs="仿宋"/>
          <w:color w:val="FF0000"/>
          <w:sz w:val="24"/>
          <w:szCs w:val="24"/>
          <w:lang w:eastAsia="zh-CN"/>
        </w:rPr>
        <w:t>申请退还成交人竞价保证金</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(一)领取《产权交易成交通知书》</w:t>
      </w:r>
      <w:r>
        <w:rPr>
          <w:rFonts w:hint="eastAsia" w:ascii="仿宋" w:hAnsi="仿宋" w:eastAsia="仿宋" w:cs="仿宋"/>
          <w:sz w:val="24"/>
          <w:szCs w:val="24"/>
        </w:rPr>
        <w:t>。网上竞价成功后，中标方应按项目公告或《惠州市政务服务数据管理局 惠州市公共资源交易中心公共资源电子交易规则》(惠市政数〔2022〕3号，</w:t>
      </w:r>
      <w:r>
        <w:rPr>
          <w:rFonts w:hint="eastAsia" w:ascii="仿宋" w:hAnsi="仿宋" w:eastAsia="仿宋" w:cs="仿宋"/>
          <w:color w:val="FF0000"/>
          <w:sz w:val="24"/>
          <w:szCs w:val="24"/>
        </w:rPr>
        <w:t>下</w:t>
      </w:r>
      <w:r>
        <w:rPr>
          <w:rFonts w:hint="eastAsia" w:ascii="仿宋" w:hAnsi="仿宋" w:eastAsia="仿宋" w:cs="仿宋"/>
          <w:color w:val="FF0000"/>
          <w:sz w:val="24"/>
          <w:szCs w:val="24"/>
          <w:lang w:eastAsia="zh-CN"/>
        </w:rPr>
        <w:t>称电子交易规则</w:t>
      </w:r>
      <w:r>
        <w:rPr>
          <w:rFonts w:hint="eastAsia" w:ascii="仿宋" w:hAnsi="仿宋" w:eastAsia="仿宋" w:cs="仿宋"/>
          <w:color w:val="FF0000"/>
          <w:sz w:val="24"/>
          <w:szCs w:val="24"/>
        </w:rPr>
        <w:t>)</w:t>
      </w:r>
      <w:r>
        <w:rPr>
          <w:rFonts w:hint="eastAsia" w:ascii="仿宋" w:hAnsi="仿宋" w:eastAsia="仿宋" w:cs="仿宋"/>
          <w:sz w:val="24"/>
          <w:szCs w:val="24"/>
        </w:rPr>
        <w:t>规定的期限，到交易中心申请办理正式成交手续(申办时须提交的资料见第六点)，领取《产权交易成交通知书》。</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(二)双方签订合同</w:t>
      </w:r>
      <w:r>
        <w:rPr>
          <w:rFonts w:hint="eastAsia" w:ascii="仿宋" w:hAnsi="仿宋" w:eastAsia="仿宋" w:cs="仿宋"/>
          <w:sz w:val="24"/>
          <w:szCs w:val="24"/>
        </w:rPr>
        <w:t>。凭《产权交易成交通知书》，</w:t>
      </w:r>
      <w:r>
        <w:rPr>
          <w:rFonts w:hint="eastAsia" w:ascii="仿宋" w:hAnsi="仿宋" w:eastAsia="仿宋" w:cs="仿宋"/>
          <w:color w:val="FF0000"/>
          <w:sz w:val="24"/>
          <w:szCs w:val="24"/>
        </w:rPr>
        <w:t>在项目公告或电子交易规则规定的期限内</w:t>
      </w:r>
      <w:r>
        <w:rPr>
          <w:rFonts w:hint="eastAsia" w:ascii="仿宋" w:hAnsi="仿宋" w:eastAsia="仿宋" w:cs="仿宋"/>
          <w:sz w:val="24"/>
          <w:szCs w:val="24"/>
        </w:rPr>
        <w:t>，与委托方签署产权交易合同。</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(三)申请退还</w:t>
      </w:r>
      <w:r>
        <w:rPr>
          <w:rStyle w:val="7"/>
          <w:rFonts w:hint="eastAsia" w:ascii="仿宋" w:hAnsi="仿宋" w:eastAsia="仿宋" w:cs="仿宋"/>
          <w:color w:val="FF0000"/>
          <w:sz w:val="24"/>
          <w:szCs w:val="24"/>
          <w:lang w:eastAsia="zh-CN"/>
        </w:rPr>
        <w:t>成交</w:t>
      </w:r>
      <w:r>
        <w:rPr>
          <w:rStyle w:val="7"/>
          <w:rFonts w:hint="eastAsia" w:ascii="仿宋" w:hAnsi="仿宋" w:eastAsia="仿宋" w:cs="仿宋"/>
          <w:color w:val="FF0000"/>
          <w:sz w:val="24"/>
          <w:szCs w:val="24"/>
        </w:rPr>
        <w:t>人</w:t>
      </w:r>
      <w:r>
        <w:rPr>
          <w:rStyle w:val="7"/>
          <w:rFonts w:hint="eastAsia" w:ascii="仿宋" w:hAnsi="仿宋" w:eastAsia="仿宋" w:cs="仿宋"/>
          <w:sz w:val="24"/>
          <w:szCs w:val="24"/>
        </w:rPr>
        <w:t>竞价保证金</w:t>
      </w:r>
      <w:r>
        <w:rPr>
          <w:rFonts w:hint="eastAsia" w:ascii="仿宋" w:hAnsi="仿宋" w:eastAsia="仿宋" w:cs="仿宋"/>
          <w:sz w:val="24"/>
          <w:szCs w:val="24"/>
        </w:rPr>
        <w:t>。在签署产权交易合同后，向交易中心提交1份双方签订的合同原件，申请退还</w:t>
      </w:r>
      <w:r>
        <w:rPr>
          <w:rFonts w:hint="eastAsia" w:ascii="仿宋" w:hAnsi="仿宋" w:eastAsia="仿宋" w:cs="仿宋"/>
          <w:color w:val="FF0000"/>
          <w:sz w:val="24"/>
          <w:szCs w:val="24"/>
          <w:lang w:eastAsia="zh-CN"/>
        </w:rPr>
        <w:t>成交</w:t>
      </w:r>
      <w:r>
        <w:rPr>
          <w:rFonts w:hint="eastAsia" w:ascii="仿宋" w:hAnsi="仿宋" w:eastAsia="仿宋" w:cs="仿宋"/>
          <w:color w:val="FF0000"/>
          <w:sz w:val="24"/>
          <w:szCs w:val="24"/>
        </w:rPr>
        <w:t>人</w:t>
      </w:r>
      <w:r>
        <w:rPr>
          <w:rFonts w:hint="eastAsia" w:ascii="仿宋" w:hAnsi="仿宋" w:eastAsia="仿宋" w:cs="仿宋"/>
          <w:sz w:val="24"/>
          <w:szCs w:val="24"/>
        </w:rPr>
        <w:t>竞价保证金(公告约定中标后转为成交价款或履约保证金的除外)。</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(四)办理产权交易鉴证书</w:t>
      </w:r>
      <w:r>
        <w:rPr>
          <w:rFonts w:hint="eastAsia" w:ascii="仿宋" w:hAnsi="仿宋" w:eastAsia="仿宋" w:cs="仿宋"/>
          <w:sz w:val="24"/>
          <w:szCs w:val="24"/>
        </w:rPr>
        <w:t>。在提交1份双方签订的合同原件后，中标人可以同时申办产权交易鉴证书。</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(五)申请过户</w:t>
      </w:r>
      <w:r>
        <w:rPr>
          <w:rFonts w:hint="eastAsia" w:ascii="仿宋" w:hAnsi="仿宋" w:eastAsia="仿宋" w:cs="仿宋"/>
          <w:sz w:val="24"/>
          <w:szCs w:val="24"/>
        </w:rPr>
        <w:t>。凭产权交易鉴证书向产权登记部门办理产权过户登记等手续。</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六、申办《产权交易成交通知书》须提交的资料</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竞买人网上竞得后，须按公告或</w:t>
      </w:r>
      <w:r>
        <w:rPr>
          <w:rFonts w:hint="eastAsia" w:ascii="仿宋" w:hAnsi="仿宋" w:eastAsia="仿宋" w:cs="仿宋"/>
          <w:color w:val="FF0000"/>
          <w:sz w:val="24"/>
          <w:szCs w:val="24"/>
        </w:rPr>
        <w:t>电子交易规则</w:t>
      </w:r>
      <w:r>
        <w:rPr>
          <w:rFonts w:hint="eastAsia" w:ascii="仿宋" w:hAnsi="仿宋" w:eastAsia="仿宋" w:cs="仿宋"/>
          <w:sz w:val="24"/>
          <w:szCs w:val="24"/>
        </w:rPr>
        <w:t>规定的期限，向交易中心递交下述材料，申请办理正式成交手续(针对受让方设置资格条件，实行事后审核的；竞买人应在网上成交结果公示结束后3个工作日内，主动向委托方递交相关资格审查资料，取得委托方出具的资格审查确认函后，方可到交易中心办理正式成交手续)。</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(一)属企业法人的，提交以下资料</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1. 竞买申请与承诺（原件，法人代表亲笔签字且盖章确认，并注明联系人及联系方式）。</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2．网络竞价须知(原件，盖章确认)。</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3. 企业法人营业执照（复印件，盖章确认）。</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4. 法定代表人身份证（复印件，盖章确认）。</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5．授权经办书（原件，盖章确认）。</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6．经办人身份证（复印件，盖章确认，检验原件）。</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7．法律法规或公告规定的其他材料（原件，盖章确认）。</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（二）属自然人的，提交以下资料</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1.竞买申请与承诺（原件，亲笔签名且按压指纹，并注明联系人及联系方式）。</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2．网络竞价须知(原件，亲笔签名且按压指纹)。</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3. 身份证复印件(核验原件)。</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4. 法律法规或公告规定的其他材料（原件）。</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七、竞价保证金退还</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(一)原路退还</w:t>
      </w:r>
      <w:r>
        <w:rPr>
          <w:rFonts w:hint="eastAsia" w:ascii="仿宋" w:hAnsi="仿宋" w:eastAsia="仿宋" w:cs="仿宋"/>
          <w:sz w:val="24"/>
          <w:szCs w:val="24"/>
        </w:rPr>
        <w:t>。</w:t>
      </w:r>
      <w:r>
        <w:rPr>
          <w:rFonts w:hint="eastAsia" w:ascii="仿宋" w:hAnsi="仿宋" w:eastAsia="仿宋" w:cs="仿宋"/>
          <w:color w:val="FF0000"/>
          <w:sz w:val="24"/>
          <w:szCs w:val="24"/>
        </w:rPr>
        <w:t>未竞得人交</w:t>
      </w:r>
      <w:r>
        <w:rPr>
          <w:rFonts w:hint="eastAsia" w:ascii="仿宋" w:hAnsi="仿宋" w:eastAsia="仿宋" w:cs="仿宋"/>
          <w:sz w:val="24"/>
          <w:szCs w:val="24"/>
        </w:rPr>
        <w:t>纳的竞价保证金，交易中心将在竞价结束后3个工作日内无息原路退还。</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Style w:val="7"/>
          <w:rFonts w:hint="eastAsia" w:ascii="仿宋" w:hAnsi="仿宋" w:eastAsia="仿宋" w:cs="仿宋"/>
          <w:sz w:val="24"/>
          <w:szCs w:val="24"/>
        </w:rPr>
        <w:t>(二)不予退还</w:t>
      </w:r>
      <w:r>
        <w:rPr>
          <w:rFonts w:hint="eastAsia" w:ascii="仿宋" w:hAnsi="仿宋" w:eastAsia="仿宋" w:cs="仿宋"/>
          <w:sz w:val="24"/>
          <w:szCs w:val="24"/>
        </w:rPr>
        <w:t>。</w:t>
      </w:r>
      <w:r>
        <w:rPr>
          <w:rFonts w:hint="eastAsia" w:ascii="仿宋" w:hAnsi="仿宋" w:eastAsia="仿宋" w:cs="仿宋"/>
          <w:color w:val="FF0000"/>
          <w:sz w:val="24"/>
          <w:szCs w:val="24"/>
        </w:rPr>
        <w:t>成交候选人有下列行为之一的，视为违约，取消成交资格，竞价保证金不予退还,并由有关部门依法处理;造成损失的，成交候选人还应依法承担赔偿责任：</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（一）不符合竞价资格条件的；</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（二）逾期或拒绝办理成交手续的；</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（三）逾期或拒绝签订产权交易成交合同的；</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（四）不按交易条件规定提供有关纸质文件材料，或提供虚假文件材料、隐瞒重要事实的；</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（五）采取行贿、恶意串通等非法手段竞得的；</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（六）以其他非法手段竞得的；</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（七）构成违约责任的其他行为。</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八、管好本人账户</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(一)竞买人对自己的产权交易网上竞价系统注册</w:t>
      </w:r>
      <w:r>
        <w:rPr>
          <w:rFonts w:hint="eastAsia" w:ascii="仿宋" w:hAnsi="仿宋" w:eastAsia="仿宋" w:cs="仿宋"/>
          <w:sz w:val="24"/>
          <w:szCs w:val="24"/>
          <w:lang w:val="en-US" w:eastAsia="zh-CN"/>
        </w:rPr>
        <w:t>账</w:t>
      </w:r>
      <w:r>
        <w:rPr>
          <w:rFonts w:hint="eastAsia" w:ascii="仿宋" w:hAnsi="仿宋" w:eastAsia="仿宋" w:cs="仿宋"/>
          <w:sz w:val="24"/>
          <w:szCs w:val="24"/>
        </w:rPr>
        <w:t>户的安全负责。</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(二)任何使用竞买人用户名和密码登录进入产权交易网上竞价系统的用户均应遵守相关交易规则。</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(三)在产权交易网上竞价系统上的一切行为均被视为是竞买人本人的行为，由竞买人负责。</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九、因竞买人如下行为产生的一切后果，交易中心不承担任何责任：</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(一)竞买人因自身原因未及时关注交易中心发布的相关报价活动信息的。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(二)竞买人填写的信息不真实、不准确或不完整而造成注册账户无法使用或保证金无法退还的。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(三)竞买人自身终端设备和网络异常导致无法正常报价的。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(四)竞买人自身终端设备时间与交易中心网站系统时间不符而导致未按时参与报价的。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(五)竞买人没有按时交纳竞买保证金，造成竞买保证金在规定时间内未到账，或到账后没有及时在网上挂牌期限截止前进行有效报价的。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十、有下列情形之一的，交易中心有权中止、终结或重新组织网上挂牌交易活动，同时不承担任何责任：</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(一)产权电子交易系统受到网络恶意入侵的。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(二)因产权电子交易系统遭受破坏或发生电力、网络故障等不可抗力的非交易中心因素，导致产权电子交易系统不能正常运行的。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(三)挂牌公告期间出现影响交易活动正常进行的情形，或网上挂牌交易委托人等有关当事人提供法定事由须暂停、中止或终止网上挂牌交易活动的。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(四)涉及产权权属纠纷，不能及时解决的。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(五)司法机关要求暂停、中止或终止网上挂牌交易活动的；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(六)委托方主管部门认为应当暂停、中止或终止网上挂牌交易活动的其他情形。</w:t>
      </w:r>
    </w:p>
    <w:p>
      <w:pPr>
        <w:pStyle w:val="4"/>
        <w:keepNext w:val="0"/>
        <w:keepLines w:val="0"/>
        <w:widowControl/>
        <w:suppressLineNumbers w:val="0"/>
        <w:spacing w:line="240" w:lineRule="auto"/>
        <w:ind w:left="0" w:firstLine="645"/>
        <w:rPr>
          <w:rFonts w:hint="eastAsia" w:ascii="仿宋" w:hAnsi="仿宋" w:eastAsia="仿宋" w:cs="仿宋"/>
          <w:sz w:val="24"/>
          <w:szCs w:val="24"/>
        </w:rPr>
      </w:pPr>
    </w:p>
    <w:p>
      <w:pPr>
        <w:spacing w:line="240" w:lineRule="auto"/>
        <w:jc w:val="right"/>
        <w:rPr>
          <w:rFonts w:hint="eastAsia" w:ascii="仿宋" w:hAnsi="仿宋" w:eastAsia="仿宋" w:cs="仿宋"/>
          <w:sz w:val="24"/>
          <w:szCs w:val="24"/>
        </w:rPr>
      </w:pPr>
      <w:r>
        <w:rPr>
          <w:rFonts w:hint="eastAsia" w:ascii="仿宋" w:hAnsi="仿宋" w:eastAsia="仿宋" w:cs="仿宋"/>
          <w:sz w:val="24"/>
          <w:szCs w:val="24"/>
        </w:rPr>
        <w:t>惠州市公共资源交易中心龙门分中心</w:t>
      </w:r>
    </w:p>
    <w:p>
      <w:pPr>
        <w:spacing w:line="240" w:lineRule="auto"/>
        <w:jc w:val="right"/>
        <w:rPr>
          <w:rFonts w:hint="eastAsia" w:ascii="仿宋" w:hAnsi="仿宋" w:eastAsia="仿宋" w:cs="仿宋"/>
          <w:sz w:val="24"/>
          <w:szCs w:val="24"/>
        </w:rPr>
      </w:pPr>
      <w:r>
        <w:rPr>
          <w:rFonts w:hint="eastAsia" w:ascii="仿宋" w:hAnsi="仿宋" w:eastAsia="仿宋" w:cs="仿宋"/>
          <w:sz w:val="24"/>
          <w:szCs w:val="24"/>
        </w:rPr>
        <w:t>202</w:t>
      </w:r>
      <w:r>
        <w:rPr>
          <w:rFonts w:hint="eastAsia" w:ascii="仿宋" w:hAnsi="仿宋" w:eastAsia="仿宋" w:cs="仿宋"/>
          <w:sz w:val="24"/>
          <w:szCs w:val="24"/>
          <w:lang w:val="en-US" w:eastAsia="zh-CN"/>
        </w:rPr>
        <w:t>4</w:t>
      </w:r>
      <w:r>
        <w:rPr>
          <w:rFonts w:hint="eastAsia" w:ascii="仿宋" w:hAnsi="仿宋" w:eastAsia="仿宋" w:cs="仿宋"/>
          <w:sz w:val="24"/>
          <w:szCs w:val="24"/>
        </w:rPr>
        <w:t>年</w:t>
      </w:r>
      <w:r>
        <w:rPr>
          <w:rFonts w:hint="eastAsia" w:ascii="仿宋" w:hAnsi="仿宋" w:eastAsia="仿宋" w:cs="仿宋"/>
          <w:sz w:val="24"/>
          <w:szCs w:val="24"/>
          <w:lang w:val="en-US" w:eastAsia="zh-CN"/>
        </w:rPr>
        <w:t>10</w:t>
      </w:r>
      <w:r>
        <w:rPr>
          <w:rFonts w:hint="eastAsia" w:ascii="仿宋" w:hAnsi="仿宋" w:eastAsia="仿宋" w:cs="仿宋"/>
          <w:sz w:val="24"/>
          <w:szCs w:val="24"/>
        </w:rPr>
        <w:t>月</w:t>
      </w:r>
      <w:r>
        <w:rPr>
          <w:rFonts w:hint="eastAsia" w:ascii="仿宋" w:hAnsi="仿宋" w:eastAsia="仿宋" w:cs="仿宋"/>
          <w:sz w:val="24"/>
          <w:szCs w:val="24"/>
          <w:lang w:val="en-US" w:eastAsia="zh-CN"/>
        </w:rPr>
        <w:t>24</w:t>
      </w:r>
      <w:r>
        <w:rPr>
          <w:rFonts w:hint="eastAsia" w:ascii="仿宋" w:hAnsi="仿宋" w:eastAsia="仿宋" w:cs="仿宋"/>
          <w:sz w:val="24"/>
          <w:szCs w:val="24"/>
        </w:rPr>
        <w:t>日</w:t>
      </w:r>
    </w:p>
    <w:p>
      <w:pPr>
        <w:spacing w:line="240" w:lineRule="auto"/>
        <w:rPr>
          <w:rFonts w:hint="eastAsia" w:ascii="仿宋" w:hAnsi="仿宋" w:eastAsia="仿宋" w:cs="仿宋"/>
          <w:sz w:val="24"/>
          <w:szCs w:val="24"/>
        </w:rPr>
      </w:pPr>
    </w:p>
    <w:p>
      <w:pPr>
        <w:spacing w:line="240" w:lineRule="auto"/>
        <w:rPr>
          <w:rFonts w:hint="eastAsia" w:ascii="仿宋" w:hAnsi="仿宋" w:eastAsia="仿宋" w:cs="仿宋"/>
          <w:sz w:val="24"/>
          <w:szCs w:val="24"/>
        </w:rPr>
      </w:pPr>
      <w:r>
        <w:rPr>
          <w:rFonts w:hint="eastAsia" w:ascii="仿宋" w:hAnsi="仿宋" w:eastAsia="仿宋" w:cs="仿宋"/>
          <w:sz w:val="24"/>
          <w:szCs w:val="24"/>
        </w:rPr>
        <w:t>中标人亲笔签名或盖章确认：</w:t>
      </w:r>
    </w:p>
    <w:p>
      <w:pPr>
        <w:spacing w:line="24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20   年   月   日</w:t>
      </w:r>
    </w:p>
    <w:p>
      <w:pPr>
        <w:pStyle w:val="4"/>
        <w:keepNext w:val="0"/>
        <w:keepLines w:val="0"/>
        <w:widowControl/>
        <w:suppressLineNumbers w:val="0"/>
        <w:spacing w:line="555" w:lineRule="atLeast"/>
        <w:ind w:left="0" w:firstLine="645"/>
        <w:rPr>
          <w:rFonts w:hint="eastAsia" w:ascii="仿宋" w:hAnsi="仿宋" w:eastAsia="仿宋" w:cs="仿宋"/>
          <w:sz w:val="31"/>
          <w:szCs w:val="31"/>
        </w:rPr>
      </w:pPr>
    </w:p>
    <w:p>
      <w:pPr>
        <w:pStyle w:val="4"/>
        <w:keepNext w:val="0"/>
        <w:keepLines w:val="0"/>
        <w:widowControl/>
        <w:suppressLineNumbers w:val="0"/>
      </w:pPr>
      <w:bookmarkStart w:id="0" w:name="_GoBack"/>
    </w:p>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onsolas">
    <w:panose1 w:val="020B0609020204030204"/>
    <w:charset w:val="00"/>
    <w:family w:val="auto"/>
    <w:pitch w:val="default"/>
    <w:sig w:usb0="E00006FF" w:usb1="0000FCFF" w:usb2="00000001" w:usb3="00000000" w:csb0="6000019F" w:csb1="DFD7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I5OTIxNDJlNjQ5NWM4OWQ1MDNiYWI0ZDcxNjFiYTUifQ=="/>
    <w:docVar w:name="KSO_WPS_MARK_KEY" w:val="59174357-d4a1-4224-9af5-7b66556d08a4"/>
  </w:docVars>
  <w:rsids>
    <w:rsidRoot w:val="08F5322F"/>
    <w:rsid w:val="00172C82"/>
    <w:rsid w:val="013169E9"/>
    <w:rsid w:val="02CF694C"/>
    <w:rsid w:val="08F5322F"/>
    <w:rsid w:val="0B0C64AC"/>
    <w:rsid w:val="0C6352F1"/>
    <w:rsid w:val="0F2F2B6F"/>
    <w:rsid w:val="1060046B"/>
    <w:rsid w:val="12293CC1"/>
    <w:rsid w:val="13D6569B"/>
    <w:rsid w:val="14EE16E0"/>
    <w:rsid w:val="15BA32B2"/>
    <w:rsid w:val="15F63117"/>
    <w:rsid w:val="164B351C"/>
    <w:rsid w:val="1A061F59"/>
    <w:rsid w:val="1A961D6D"/>
    <w:rsid w:val="1CFE2A48"/>
    <w:rsid w:val="1F37270B"/>
    <w:rsid w:val="20AC409B"/>
    <w:rsid w:val="228A48BA"/>
    <w:rsid w:val="23D557D6"/>
    <w:rsid w:val="24151C38"/>
    <w:rsid w:val="274538DA"/>
    <w:rsid w:val="27553A8D"/>
    <w:rsid w:val="2830162A"/>
    <w:rsid w:val="2B5F662A"/>
    <w:rsid w:val="2C2F3BAA"/>
    <w:rsid w:val="2CA83FD0"/>
    <w:rsid w:val="2D8E5D42"/>
    <w:rsid w:val="303F0DB4"/>
    <w:rsid w:val="357F6C44"/>
    <w:rsid w:val="379B1A0E"/>
    <w:rsid w:val="3AA83BF2"/>
    <w:rsid w:val="3C0A7E90"/>
    <w:rsid w:val="3CDB01B0"/>
    <w:rsid w:val="3E0934EC"/>
    <w:rsid w:val="429663AA"/>
    <w:rsid w:val="433751CB"/>
    <w:rsid w:val="44224F14"/>
    <w:rsid w:val="443C25A9"/>
    <w:rsid w:val="456055DE"/>
    <w:rsid w:val="4863614D"/>
    <w:rsid w:val="499253C3"/>
    <w:rsid w:val="4F375C04"/>
    <w:rsid w:val="514E65F3"/>
    <w:rsid w:val="53492697"/>
    <w:rsid w:val="544640D3"/>
    <w:rsid w:val="548A32DF"/>
    <w:rsid w:val="54D14C80"/>
    <w:rsid w:val="54DE7749"/>
    <w:rsid w:val="553412FD"/>
    <w:rsid w:val="56DE4C90"/>
    <w:rsid w:val="572910A3"/>
    <w:rsid w:val="59D32D15"/>
    <w:rsid w:val="5A332E58"/>
    <w:rsid w:val="5B334E75"/>
    <w:rsid w:val="5C1560D8"/>
    <w:rsid w:val="5CB337F7"/>
    <w:rsid w:val="6029361C"/>
    <w:rsid w:val="60A5089F"/>
    <w:rsid w:val="64C35525"/>
    <w:rsid w:val="659D24CC"/>
    <w:rsid w:val="697E105A"/>
    <w:rsid w:val="6C745385"/>
    <w:rsid w:val="6FDF5799"/>
    <w:rsid w:val="709540FC"/>
    <w:rsid w:val="71AA7076"/>
    <w:rsid w:val="72B837DC"/>
    <w:rsid w:val="764A5AF0"/>
    <w:rsid w:val="772F1899"/>
    <w:rsid w:val="78067D60"/>
    <w:rsid w:val="78B70C39"/>
    <w:rsid w:val="7A9846CB"/>
    <w:rsid w:val="7AD24D3F"/>
    <w:rsid w:val="7B322945"/>
    <w:rsid w:val="7C602DAD"/>
    <w:rsid w:val="7CBA33D5"/>
    <w:rsid w:val="7CCF767C"/>
    <w:rsid w:val="7D183E47"/>
    <w:rsid w:val="7FF947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75" w:beforeAutospacing="0" w:after="75" w:afterAutospacing="0"/>
      <w:ind w:left="0" w:right="0"/>
      <w:jc w:val="left"/>
    </w:pPr>
    <w:rPr>
      <w:kern w:val="0"/>
      <w:sz w:val="24"/>
      <w:lang w:val="en-US" w:eastAsia="zh-CN" w:bidi="ar"/>
    </w:rPr>
  </w:style>
  <w:style w:type="character" w:styleId="7">
    <w:name w:val="Strong"/>
    <w:basedOn w:val="6"/>
    <w:qFormat/>
    <w:uiPriority w:val="0"/>
    <w:rPr>
      <w:b/>
      <w:bCs/>
    </w:rPr>
  </w:style>
  <w:style w:type="character" w:styleId="8">
    <w:name w:val="FollowedHyperlink"/>
    <w:basedOn w:val="6"/>
    <w:qFormat/>
    <w:uiPriority w:val="0"/>
    <w:rPr>
      <w:color w:val="337AB7"/>
      <w:u w:val="none"/>
    </w:rPr>
  </w:style>
  <w:style w:type="character" w:styleId="9">
    <w:name w:val="HTML Definition"/>
    <w:basedOn w:val="6"/>
    <w:qFormat/>
    <w:uiPriority w:val="0"/>
    <w:rPr>
      <w:i/>
      <w:iCs/>
    </w:rPr>
  </w:style>
  <w:style w:type="character" w:styleId="10">
    <w:name w:val="Hyperlink"/>
    <w:basedOn w:val="6"/>
    <w:qFormat/>
    <w:uiPriority w:val="0"/>
    <w:rPr>
      <w:color w:val="337AB7"/>
      <w:u w:val="none"/>
    </w:rPr>
  </w:style>
  <w:style w:type="character" w:styleId="11">
    <w:name w:val="HTML Code"/>
    <w:basedOn w:val="6"/>
    <w:qFormat/>
    <w:uiPriority w:val="0"/>
    <w:rPr>
      <w:rFonts w:ascii="Consolas" w:hAnsi="Consolas" w:eastAsia="Consolas" w:cs="Consolas"/>
      <w:color w:val="C7254E"/>
      <w:sz w:val="21"/>
      <w:szCs w:val="21"/>
      <w:shd w:val="clear" w:fill="F9F2F4"/>
    </w:rPr>
  </w:style>
  <w:style w:type="character" w:styleId="12">
    <w:name w:val="HTML Keyboard"/>
    <w:basedOn w:val="6"/>
    <w:qFormat/>
    <w:uiPriority w:val="0"/>
    <w:rPr>
      <w:rFonts w:hint="default" w:ascii="Consolas" w:hAnsi="Consolas" w:eastAsia="Consolas" w:cs="Consolas"/>
      <w:color w:val="FFFFFF"/>
      <w:sz w:val="21"/>
      <w:szCs w:val="21"/>
      <w:shd w:val="clear" w:fill="333333"/>
    </w:rPr>
  </w:style>
  <w:style w:type="character" w:styleId="13">
    <w:name w:val="HTML Sample"/>
    <w:basedOn w:val="6"/>
    <w:qFormat/>
    <w:uiPriority w:val="0"/>
    <w:rPr>
      <w:rFonts w:hint="default" w:ascii="Consolas" w:hAnsi="Consolas" w:eastAsia="Consolas" w:cs="Consolas"/>
      <w:sz w:val="21"/>
      <w:szCs w:val="21"/>
    </w:rPr>
  </w:style>
  <w:style w:type="character" w:customStyle="1" w:styleId="14">
    <w:name w:val="actspan"/>
    <w:basedOn w:val="6"/>
    <w:qFormat/>
    <w:uiPriority w:val="0"/>
  </w:style>
  <w:style w:type="character" w:customStyle="1" w:styleId="15">
    <w:name w:val="first-child"/>
    <w:basedOn w:val="6"/>
    <w:qFormat/>
    <w:uiPriority w:val="0"/>
  </w:style>
  <w:style w:type="character" w:customStyle="1" w:styleId="16">
    <w:name w:val="layui-layer-tabnow"/>
    <w:basedOn w:val="6"/>
    <w:qFormat/>
    <w:uiPriority w:val="0"/>
    <w:rPr>
      <w:bdr w:val="single" w:color="CCCCCC" w:sz="4" w:space="0"/>
      <w:shd w:val="clear" w:fill="FFFFFF"/>
    </w:rPr>
  </w:style>
  <w:style w:type="character" w:customStyle="1" w:styleId="17">
    <w:name w:val="actspan2"/>
    <w:basedOn w:val="6"/>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2905</Words>
  <Characters>2926</Characters>
  <Lines>0</Lines>
  <Paragraphs>0</Paragraphs>
  <TotalTime>37</TotalTime>
  <ScaleCrop>false</ScaleCrop>
  <LinksUpToDate>false</LinksUpToDate>
  <CharactersWithSpaces>2943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2023-11-16T02:52:00Z</dcterms:created>
  <dc:creator>WPS_1695719239</dc:creator>
  <cp:lastModifiedBy>Jasmin</cp:lastModifiedBy>
  <dcterms:modified xsi:type="dcterms:W3CDTF">2024-10-22T06:49:38Z</dcterms:modified>
  <dc:title>交易须知</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6920A7C10A8445848F744EC1EE9EF043</vt:lpwstr>
  </property>
</Properties>
</file>