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龙门县龙城街道仁善里1号商铺2物业公开招租公告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17</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8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97"/>
        <w:gridCol w:w="1413"/>
        <w:gridCol w:w="1210"/>
        <w:gridCol w:w="1173"/>
        <w:gridCol w:w="888"/>
        <w:gridCol w:w="99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龙门县龙供社有资产运营有限公司</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龙门县龙城街道仁善里1号商铺2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17.50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3月17日9:30至2026年3月31日9:30。自由报价时间：2026年3月17日9:30至2026年3月31日11:00。限时竞价时间：自由报价结束即转入限时竞价，竞价人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US" w:eastAsia="zh-CN"/>
        </w:rPr>
        <w:t>不作延期挂牌</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1、业主方：</w:t>
      </w:r>
      <w:r>
        <w:rPr>
          <w:rFonts w:hint="eastAsia" w:ascii="仿宋" w:hAnsi="仿宋" w:eastAsia="仿宋" w:cs="仿宋"/>
          <w:bCs/>
          <w:sz w:val="32"/>
          <w:szCs w:val="32"/>
          <w:lang w:val="en-US" w:eastAsia="zh-CN"/>
        </w:rPr>
        <w:t>龙门县龙供社有资产运营有限公司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罗先生 </w:t>
      </w:r>
      <w:r>
        <w:rPr>
          <w:rFonts w:hint="eastAsia" w:ascii="仿宋" w:hAnsi="仿宋" w:eastAsia="仿宋"/>
          <w:sz w:val="32"/>
          <w:szCs w:val="32"/>
          <w:lang w:val="en-US" w:eastAsia="zh-CN"/>
        </w:rPr>
        <w:t>186 6520 0162</w:t>
      </w:r>
      <w:bookmarkStart w:id="3" w:name="_GoBack"/>
      <w:bookmarkEnd w:id="3"/>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17</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0A48AC"/>
    <w:rsid w:val="348C6C89"/>
    <w:rsid w:val="3490752A"/>
    <w:rsid w:val="35F90EC2"/>
    <w:rsid w:val="36595F6A"/>
    <w:rsid w:val="368F6DB0"/>
    <w:rsid w:val="36BD1D39"/>
    <w:rsid w:val="37C03CDF"/>
    <w:rsid w:val="37E33632"/>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1587</Words>
  <Characters>1785</Characters>
  <Lines>11</Lines>
  <Paragraphs>3</Paragraphs>
  <TotalTime>8</TotalTime>
  <ScaleCrop>false</ScaleCrop>
  <LinksUpToDate>false</LinksUpToDate>
  <CharactersWithSpaces>1800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2026-03-13T01:33:19Z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