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龙门县麻榨镇经济发展总公司四宗物业</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公开招租公</w:t>
      </w:r>
      <w:r>
        <w:rPr>
          <w:rFonts w:hint="eastAsia" w:ascii="宋体" w:hAnsi="宋体" w:eastAsia="宋体" w:cs="宋体"/>
          <w:b/>
          <w:bCs/>
          <w:sz w:val="44"/>
          <w:szCs w:val="44"/>
        </w:rPr>
        <w:t>告</w:t>
      </w:r>
    </w:p>
    <w:p>
      <w:pPr>
        <w:pStyle w:val="4"/>
        <w:keepNext w:val="0"/>
        <w:keepLines w:val="0"/>
        <w:pageBreakBefore w:val="0"/>
        <w:shd w:val="clear" w:color="auto" w:fill="FFFFFF"/>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惠公易产龙门[202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 0</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val="en"/>
        </w:rPr>
        <w:t>号</w:t>
      </w:r>
    </w:p>
    <w:p>
      <w:pPr>
        <w:pStyle w:val="4"/>
        <w:keepNext w:val="0"/>
        <w:keepLines w:val="0"/>
        <w:pageBreakBefore w:val="0"/>
        <w:widowControl/>
        <w:suppressLineNumbers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受委托，挂牌招租</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处物业，详见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下表</w:t>
      </w:r>
      <w:r>
        <w:rPr>
          <w:rFonts w:hint="eastAsia" w:ascii="仿宋_GB2312" w:hAnsi="仿宋_GB2312" w:eastAsia="仿宋_GB2312" w:cs="仿宋_GB2312"/>
          <w:bCs/>
          <w:color w:val="000000" w:themeColor="text1"/>
          <w:sz w:val="32"/>
          <w:szCs w:val="32"/>
          <w14:textFill>
            <w14:solidFill>
              <w14:schemeClr w14:val="tx1"/>
            </w14:solidFill>
          </w14:textFill>
        </w:rPr>
        <w:t>。所交易标的物以实物现状为准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关于</w:t>
      </w:r>
      <w:r>
        <w:rPr>
          <w:rFonts w:hint="eastAsia" w:ascii="仿宋_GB2312" w:hAnsi="仿宋_GB2312" w:eastAsia="仿宋_GB2312" w:cs="仿宋_GB2312"/>
          <w:color w:val="000000"/>
          <w:sz w:val="32"/>
          <w:szCs w:val="32"/>
          <w:lang w:eastAsia="zh-CN"/>
        </w:rPr>
        <w:t>竞价人条件要求及</w:t>
      </w:r>
      <w:r>
        <w:rPr>
          <w:rFonts w:hint="eastAsia" w:ascii="仿宋_GB2312" w:hAnsi="仿宋_GB2312" w:eastAsia="仿宋_GB2312" w:cs="仿宋_GB2312"/>
          <w:color w:val="000000"/>
          <w:sz w:val="32"/>
          <w:szCs w:val="32"/>
        </w:rPr>
        <w:t>合同履约要求，详见附件：《项目交易条件特别说明》。</w:t>
      </w:r>
    </w:p>
    <w:tbl>
      <w:tblPr>
        <w:tblStyle w:val="5"/>
        <w:tblpPr w:leftFromText="180" w:rightFromText="180" w:vertAnchor="text" w:horzAnchor="page" w:tblpX="1815" w:tblpY="561"/>
        <w:tblOverlap w:val="never"/>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1396"/>
        <w:gridCol w:w="1767"/>
        <w:gridCol w:w="672"/>
        <w:gridCol w:w="560"/>
        <w:gridCol w:w="876"/>
        <w:gridCol w:w="1090"/>
        <w:gridCol w:w="730"/>
        <w:gridCol w:w="887"/>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使用功能</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面积（平方米）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评估月租金（起始价）万元</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拟出租期限（年）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竞价增幅（万元/次）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龙门县麻榨镇经济发展总公司</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龙门县麻榨镇农贸市场（商铺A1-3）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龙门县麻榨镇经济发展总公司</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龙门县麻榨镇农贸市场（商铺A1-4）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龙门县麻榨镇经济发展总公司</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龙门县麻榨镇农贸市场（商铺A2-2）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龙门县麻榨镇经济发展总公司</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龙门县麻榨镇农贸市场（商铺A2-3）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0.504</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w:t>
            </w:r>
          </w:p>
        </w:tc>
      </w:tr>
    </w:tbl>
    <w:p>
      <w:pPr>
        <w:pStyle w:val="4"/>
        <w:keepNext w:val="0"/>
        <w:keepLines w:val="0"/>
        <w:pageBreakBefore w:val="0"/>
        <w:widowControl/>
        <w:suppressLineNumbers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二、</w:t>
      </w:r>
      <w:r>
        <w:rPr>
          <w:rStyle w:val="8"/>
          <w:rFonts w:hint="eastAsia" w:ascii="仿宋_GB2312" w:hAnsi="仿宋_GB2312" w:eastAsia="仿宋_GB2312" w:cs="仿宋_GB2312"/>
          <w:b w:val="0"/>
          <w:bCs/>
          <w:color w:val="000000"/>
          <w:sz w:val="32"/>
          <w:szCs w:val="32"/>
          <w:lang w:val="en"/>
        </w:rPr>
        <w:t>上述标的实行网上挂牌交易，交易全程适用《惠州市政务服务数据管理局 惠州市公共资源交易中心公共资源电子交易规则》（惠市政数〔2022〕3号），</w:t>
      </w:r>
      <w:r>
        <w:rPr>
          <w:rFonts w:hint="eastAsia" w:ascii="仿宋_GB2312" w:hAnsi="仿宋_GB2312" w:eastAsia="仿宋_GB2312" w:cs="仿宋_GB2312"/>
          <w:color w:val="000000"/>
          <w:sz w:val="32"/>
          <w:szCs w:val="32"/>
        </w:rPr>
        <w:t>全程网上报</w:t>
      </w:r>
      <w:r>
        <w:rPr>
          <w:rFonts w:hint="eastAsia" w:ascii="仿宋_GB2312" w:hAnsi="仿宋_GB2312" w:eastAsia="仿宋_GB2312" w:cs="仿宋_GB2312"/>
          <w:sz w:val="32"/>
          <w:szCs w:val="32"/>
        </w:rPr>
        <w:t>名、缴纳保证金、报价、竞价。报名起止时间</w:t>
      </w:r>
      <w:r>
        <w:rPr>
          <w:rFonts w:hint="eastAsia" w:ascii="仿宋_GB2312" w:hAnsi="仿宋_GB2312" w:eastAsia="仿宋_GB2312" w:cs="仿宋_GB2312"/>
          <w:color w:val="000000"/>
          <w:sz w:val="32"/>
          <w:szCs w:val="32"/>
        </w:rPr>
        <w:t>：2024年8月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日9:30至2024年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日9:30。自由报价时间：2024年8月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日9:30至2024年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sz w:val="32"/>
          <w:szCs w:val="32"/>
        </w:rPr>
        <w:t>。限时竞价时间：自由报价结束即转入限时竞价，竞价人须在自由报价期经过一次有效报价方有资格参与，建议竞价人至少提前10分钟登录系统准备，限时报价期为5分钟。</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sz w:val="32"/>
          <w:szCs w:val="32"/>
        </w:rPr>
        <w:t>三、保证金以交易系统到账为准(ATM转账24小时后方可到账)，请适当提前以确保资金在到账截止时间前到账。</w:t>
      </w:r>
      <w:r>
        <w:rPr>
          <w:rFonts w:hint="eastAsia" w:ascii="仿宋_GB2312" w:hAnsi="仿宋_GB2312" w:eastAsia="仿宋_GB2312" w:cs="仿宋_GB2312"/>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_GB2312" w:hAnsi="仿宋_GB2312" w:eastAsia="仿宋_GB2312" w:cs="仿宋_GB2312"/>
          <w:bCs/>
          <w:sz w:val="32"/>
          <w:szCs w:val="32"/>
        </w:rPr>
        <w:t>竞价保证</w:t>
      </w:r>
      <w:r>
        <w:rPr>
          <w:rFonts w:hint="eastAsia" w:ascii="仿宋_GB2312" w:hAnsi="仿宋_GB2312" w:eastAsia="仿宋_GB2312" w:cs="仿宋_GB2312"/>
          <w:bCs/>
          <w:color w:val="auto"/>
          <w:sz w:val="32"/>
          <w:szCs w:val="32"/>
        </w:rPr>
        <w:t>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240" w:lineRule="auto"/>
        <w:ind w:firstLine="646"/>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四、</w:t>
      </w:r>
      <w:r>
        <w:rPr>
          <w:rFonts w:hint="eastAsia" w:ascii="仿宋_GB2312" w:hAnsi="仿宋_GB2312" w:eastAsia="仿宋_GB2312" w:cs="仿宋_GB2312"/>
          <w:bCs/>
          <w:color w:val="auto"/>
          <w:kern w:val="2"/>
          <w:sz w:val="32"/>
          <w:szCs w:val="32"/>
          <w:lang w:val="en-US" w:eastAsia="zh-CN" w:bidi="ar-SA"/>
        </w:rPr>
        <w:t>首次挂牌到期未成交的，</w:t>
      </w:r>
      <w:r>
        <w:rPr>
          <w:rFonts w:hint="eastAsia" w:ascii="仿宋_GB2312" w:hAnsi="仿宋_GB2312" w:eastAsia="仿宋_GB2312" w:cs="仿宋_GB2312"/>
          <w:bCs/>
          <w:color w:val="auto"/>
          <w:kern w:val="2"/>
          <w:sz w:val="32"/>
          <w:szCs w:val="32"/>
          <w:lang w:val="en" w:eastAsia="zh-CN" w:bidi="ar-SA"/>
        </w:rPr>
        <w:t>按5个工作日为1个周期自动</w:t>
      </w:r>
      <w:r>
        <w:rPr>
          <w:rFonts w:hint="eastAsia" w:ascii="仿宋_GB2312" w:hAnsi="仿宋_GB2312" w:eastAsia="仿宋_GB2312" w:cs="仿宋_GB2312"/>
          <w:bCs/>
          <w:color w:val="auto"/>
          <w:kern w:val="2"/>
          <w:sz w:val="32"/>
          <w:szCs w:val="32"/>
          <w:lang w:val="en-US" w:eastAsia="zh-CN" w:bidi="ar-SA"/>
        </w:rPr>
        <w:t>延期挂牌，</w:t>
      </w:r>
      <w:r>
        <w:rPr>
          <w:rFonts w:hint="eastAsia" w:ascii="仿宋_GB2312" w:hAnsi="仿宋_GB2312" w:eastAsia="仿宋_GB2312" w:cs="仿宋_GB2312"/>
          <w:bCs/>
          <w:color w:val="auto"/>
          <w:kern w:val="2"/>
          <w:sz w:val="32"/>
          <w:szCs w:val="32"/>
          <w:lang w:val="en" w:eastAsia="zh-CN" w:bidi="ar-SA"/>
        </w:rPr>
        <w:t>自动延期挂牌截止日期</w:t>
      </w:r>
      <w:r>
        <w:rPr>
          <w:rFonts w:hint="eastAsia" w:ascii="仿宋_GB2312" w:hAnsi="仿宋_GB2312" w:eastAsia="仿宋_GB2312" w:cs="仿宋_GB2312"/>
          <w:bCs/>
          <w:color w:val="auto"/>
          <w:kern w:val="2"/>
          <w:sz w:val="32"/>
          <w:szCs w:val="32"/>
          <w:lang w:val="en-US" w:eastAsia="zh-CN" w:bidi="ar-SA"/>
        </w:rPr>
        <w:t>至2024年11月5日</w:t>
      </w:r>
      <w:r>
        <w:rPr>
          <w:rFonts w:hint="eastAsia" w:ascii="仿宋_GB2312" w:hAnsi="仿宋_GB2312" w:eastAsia="仿宋_GB2312" w:cs="仿宋_GB2312"/>
          <w:bCs/>
          <w:color w:val="auto"/>
          <w:kern w:val="2"/>
          <w:sz w:val="32"/>
          <w:szCs w:val="32"/>
          <w:lang w:val="en" w:eastAsia="zh-CN" w:bidi="ar-SA"/>
        </w:rPr>
        <w:t>。</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五、成交候选人有下列行为之一的，视为违约，取消成交资格，竞价保证金不予退还,并由有关部门依法处理;造成损失的，成交候选人还应依法承担赔偿责任：</w:t>
      </w:r>
      <w:bookmarkStart w:id="0" w:name="_GoBack"/>
      <w:bookmarkEnd w:id="0"/>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（一）不符合竞价资格条件的；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（二）逾期或拒绝办理成交手续的；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（三）逾期或拒绝签订产权交易成交合同的；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（四）不按交易条件规定提供有关纸质文件材料，或提供虚假文件材料、隐瞒重要事实的；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（五）采取行贿、恶意串通等非法手段竞得的；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（六）以其他非法手段竞得的；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（七）构成违约责任的其他行为。</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六、竞价人应对标的物进行充分了解，可在指定时间内看样，未看样的竞价人视为对转让标的现状无异议。本中心为交易平台，只对交易法定程序负责，不承担其他任何法律责任。</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七、因不可抗力、软硬件故障、非法入侵、恶意攻击等原因导致网上竞价活动异常的，交易中心有权中止、终结或重新组织竞价活动，同时不承担任何责任。</w:t>
      </w:r>
    </w:p>
    <w:p>
      <w:pPr>
        <w:pStyle w:val="4"/>
        <w:keepNext w:val="0"/>
        <w:keepLines w:val="0"/>
        <w:pageBreakBefore w:val="0"/>
        <w:widowControl/>
        <w:suppressLineNumbers w:val="0"/>
        <w:kinsoku/>
        <w:wordWrap/>
        <w:overflowPunct/>
        <w:topLinePunct w:val="0"/>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val="0"/>
          <w:bCs w:val="0"/>
          <w:color w:val="auto"/>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w:t>
      </w:r>
      <w:r>
        <w:rPr>
          <w:rFonts w:hint="eastAsia" w:ascii="仿宋_GB2312" w:hAnsi="仿宋_GB2312" w:eastAsia="仿宋_GB2312" w:cs="仿宋_GB2312"/>
          <w:color w:val="auto"/>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_GB2312" w:hAnsi="仿宋_GB2312" w:eastAsia="仿宋_GB2312" w:cs="仿宋_GB2312"/>
          <w:b w:val="0"/>
          <w:bCs w:val="0"/>
          <w:color w:val="auto"/>
          <w:sz w:val="32"/>
          <w:szCs w:val="32"/>
        </w:rPr>
        <w:t>龙门分</w:t>
      </w:r>
      <w:r>
        <w:rPr>
          <w:rFonts w:hint="eastAsia" w:ascii="仿宋_GB2312" w:hAnsi="仿宋_GB2312" w:eastAsia="仿宋_GB2312" w:cs="仿宋_GB2312"/>
          <w:color w:val="auto"/>
          <w:sz w:val="32"/>
          <w:szCs w:val="32"/>
        </w:rPr>
        <w:t>中心→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_GB2312" w:hAnsi="仿宋_GB2312" w:eastAsia="仿宋_GB2312" w:cs="仿宋_GB2312"/>
          <w:b w:val="0"/>
          <w:bCs w:val="0"/>
          <w:color w:val="auto"/>
          <w:sz w:val="32"/>
          <w:szCs w:val="32"/>
        </w:rPr>
        <w:t>龙门分</w:t>
      </w:r>
      <w:r>
        <w:rPr>
          <w:rFonts w:hint="eastAsia" w:ascii="仿宋_GB2312" w:hAnsi="仿宋_GB2312" w:eastAsia="仿宋_GB2312" w:cs="仿宋_GB2312"/>
          <w:color w:val="auto"/>
          <w:sz w:val="32"/>
          <w:szCs w:val="32"/>
        </w:rPr>
        <w:t>中心→查看相关标的”。</w:t>
      </w:r>
    </w:p>
    <w:p>
      <w:pPr>
        <w:keepNext w:val="0"/>
        <w:keepLines w:val="0"/>
        <w:pageBreakBefore w:val="0"/>
        <w:kinsoku/>
        <w:wordWrap/>
        <w:overflowPunct/>
        <w:topLinePunct w:val="0"/>
        <w:autoSpaceDN/>
        <w:bidi w:val="0"/>
        <w:adjustRightInd/>
        <w:snapToGrid/>
        <w:spacing w:line="240" w:lineRule="auto"/>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_GB2312" w:hAnsi="仿宋_GB2312" w:eastAsia="仿宋_GB2312" w:cs="仿宋_GB2312"/>
          <w:bCs/>
          <w:color w:val="auto"/>
          <w:sz w:val="32"/>
          <w:szCs w:val="32"/>
          <w:lang w:eastAsia="zh-CN"/>
        </w:rPr>
        <w:t>也可</w:t>
      </w:r>
      <w:r>
        <w:rPr>
          <w:rFonts w:hint="eastAsia" w:ascii="仿宋_GB2312" w:hAnsi="仿宋_GB2312" w:eastAsia="仿宋_GB2312" w:cs="仿宋_GB2312"/>
          <w:bCs/>
          <w:color w:val="auto"/>
          <w:sz w:val="32"/>
          <w:szCs w:val="32"/>
        </w:rPr>
        <w:t>详见“惠州市公共资源交易中心产权交易网上竞价系统(https://cqjy.huizhou.gov.cn/Client/ClientLogin/Login)→交易信息→正在交易→龙门分中心→（意向标的）查看→交易文件→产权竞价交易操作指引”。</w:t>
      </w:r>
    </w:p>
    <w:p>
      <w:pPr>
        <w:pStyle w:val="4"/>
        <w:keepNext w:val="0"/>
        <w:keepLines w:val="0"/>
        <w:pageBreakBefore w:val="0"/>
        <w:shd w:val="clear" w:color="auto" w:fill="FFFFFF"/>
        <w:kinsoku/>
        <w:wordWrap/>
        <w:overflowPunct/>
        <w:topLinePunct w:val="0"/>
        <w:autoSpaceDN/>
        <w:bidi w:val="0"/>
        <w:adjustRightInd/>
        <w:snapToGrid/>
        <w:spacing w:line="240" w:lineRule="auto"/>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Cs/>
          <w:color w:val="auto"/>
          <w:kern w:val="2"/>
          <w:sz w:val="32"/>
          <w:szCs w:val="32"/>
        </w:rPr>
        <w:t>九、联系方式(正常工作日：8：30-12：00，14：00-17：30)：</w:t>
      </w:r>
    </w:p>
    <w:p>
      <w:pPr>
        <w:keepNext w:val="0"/>
        <w:keepLines w:val="0"/>
        <w:pageBreakBefore w:val="0"/>
        <w:tabs>
          <w:tab w:val="left" w:pos="4158"/>
        </w:tabs>
        <w:kinsoku/>
        <w:wordWrap/>
        <w:overflowPunct/>
        <w:topLinePunct w:val="0"/>
        <w:autoSpaceDN/>
        <w:bidi w:val="0"/>
        <w:adjustRightInd/>
        <w:snapToGrid/>
        <w:spacing w:line="240" w:lineRule="auto"/>
        <w:ind w:firstLine="617"/>
        <w:jc w:val="left"/>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1、业主方：龙门县麻榨镇经济发展总公司 </w:t>
      </w:r>
    </w:p>
    <w:p>
      <w:pPr>
        <w:keepNext w:val="0"/>
        <w:keepLines w:val="0"/>
        <w:pageBreakBefore w:val="0"/>
        <w:tabs>
          <w:tab w:val="left" w:pos="4158"/>
        </w:tabs>
        <w:kinsoku/>
        <w:wordWrap/>
        <w:overflowPunct/>
        <w:topLinePunct w:val="0"/>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kern w:val="2"/>
          <w:sz w:val="32"/>
          <w:szCs w:val="32"/>
        </w:rPr>
        <w:t>联系人：</w:t>
      </w:r>
      <w:r>
        <w:rPr>
          <w:rFonts w:hint="eastAsia" w:ascii="仿宋_GB2312" w:hAnsi="仿宋_GB2312" w:eastAsia="仿宋_GB2312" w:cs="仿宋_GB2312"/>
          <w:bCs/>
          <w:color w:val="auto"/>
          <w:kern w:val="2"/>
          <w:sz w:val="32"/>
          <w:szCs w:val="32"/>
          <w:lang w:val="en-US" w:eastAsia="zh-CN" w:bidi="ar-SA"/>
        </w:rPr>
        <w:t>黄先生0752-7560148</w:t>
      </w:r>
    </w:p>
    <w:p>
      <w:pPr>
        <w:pStyle w:val="4"/>
        <w:keepNext w:val="0"/>
        <w:keepLines w:val="0"/>
        <w:pageBreakBefore w:val="0"/>
        <w:shd w:val="clear" w:color="auto" w:fill="FFFFFF"/>
        <w:kinsoku/>
        <w:wordWrap/>
        <w:overflowPunct/>
        <w:topLinePunct w:val="0"/>
        <w:autoSpaceDN/>
        <w:bidi w:val="0"/>
        <w:adjustRightInd/>
        <w:snapToGrid/>
        <w:spacing w:line="240" w:lineRule="auto"/>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    2、惠州市公共资源交易中心龙门分中心产权交易部</w:t>
      </w:r>
    </w:p>
    <w:p>
      <w:pPr>
        <w:pStyle w:val="4"/>
        <w:keepNext w:val="0"/>
        <w:keepLines w:val="0"/>
        <w:pageBreakBefore w:val="0"/>
        <w:shd w:val="clear" w:color="auto" w:fill="FFFFFF"/>
        <w:kinsoku/>
        <w:wordWrap/>
        <w:overflowPunct/>
        <w:topLinePunct w:val="0"/>
        <w:autoSpaceDN/>
        <w:bidi w:val="0"/>
        <w:adjustRightInd/>
        <w:snapToGrid/>
        <w:spacing w:line="240" w:lineRule="auto"/>
        <w:ind w:firstLine="420"/>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地址：龙门县龙城街道体育西路城投大厦二楼  </w:t>
      </w:r>
    </w:p>
    <w:p>
      <w:pPr>
        <w:pStyle w:val="4"/>
        <w:keepNext w:val="0"/>
        <w:keepLines w:val="0"/>
        <w:pageBreakBefore w:val="0"/>
        <w:shd w:val="clear" w:color="auto" w:fill="FFFFFF"/>
        <w:kinsoku/>
        <w:wordWrap/>
        <w:overflowPunct/>
        <w:topLinePunct w:val="0"/>
        <w:autoSpaceDN/>
        <w:bidi w:val="0"/>
        <w:adjustRightInd/>
        <w:snapToGrid/>
        <w:spacing w:line="240" w:lineRule="auto"/>
        <w:ind w:firstLine="42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bCs/>
          <w:color w:val="auto"/>
          <w:kern w:val="2"/>
          <w:sz w:val="32"/>
          <w:szCs w:val="32"/>
        </w:rPr>
        <w:t xml:space="preserve">联系人：陈小姐0752-7988080 </w:t>
      </w:r>
      <w:r>
        <w:rPr>
          <w:rFonts w:hint="eastAsia" w:ascii="仿宋_GB2312" w:hAnsi="仿宋_GB2312" w:eastAsia="仿宋_GB2312" w:cs="仿宋_GB2312"/>
          <w:color w:val="auto"/>
          <w:sz w:val="32"/>
          <w:szCs w:val="32"/>
          <w:lang w:val="en"/>
        </w:rPr>
        <w:t> </w:t>
      </w:r>
    </w:p>
    <w:p>
      <w:pPr>
        <w:pStyle w:val="4"/>
        <w:keepNext w:val="0"/>
        <w:keepLines w:val="0"/>
        <w:pageBreakBefore w:val="0"/>
        <w:shd w:val="clear" w:color="auto" w:fill="FFFFFF"/>
        <w:kinsoku/>
        <w:wordWrap/>
        <w:overflowPunct/>
        <w:topLinePunct w:val="0"/>
        <w:autoSpaceDN/>
        <w:bidi w:val="0"/>
        <w:adjustRightInd/>
        <w:snapToGrid/>
        <w:spacing w:line="240" w:lineRule="auto"/>
        <w:textAlignment w:val="auto"/>
        <w:rPr>
          <w:rFonts w:hint="eastAsia" w:ascii="仿宋_GB2312" w:hAnsi="仿宋_GB2312" w:eastAsia="仿宋_GB2312" w:cs="仿宋_GB2312"/>
          <w:color w:val="auto"/>
          <w:sz w:val="32"/>
          <w:szCs w:val="32"/>
          <w:lang w:val="en"/>
        </w:rPr>
      </w:pPr>
    </w:p>
    <w:p>
      <w:pPr>
        <w:pStyle w:val="4"/>
        <w:keepNext w:val="0"/>
        <w:keepLines w:val="0"/>
        <w:pageBreakBefore w:val="0"/>
        <w:shd w:val="clear" w:color="auto" w:fill="FFFFFF"/>
        <w:kinsoku/>
        <w:wordWrap/>
        <w:overflowPunct/>
        <w:topLinePunct w:val="0"/>
        <w:autoSpaceDN/>
        <w:bidi w:val="0"/>
        <w:adjustRightInd/>
        <w:snapToGrid/>
        <w:spacing w:line="240" w:lineRule="auto"/>
        <w:jc w:val="right"/>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惠州市公共资源交易中心龙门分中心</w:t>
      </w:r>
    </w:p>
    <w:p>
      <w:pPr>
        <w:pStyle w:val="4"/>
        <w:keepNext w:val="0"/>
        <w:keepLines w:val="0"/>
        <w:pageBreakBefore w:val="0"/>
        <w:shd w:val="clear" w:color="auto" w:fill="FFFFFF"/>
        <w:kinsoku/>
        <w:wordWrap/>
        <w:overflowPunct/>
        <w:topLinePunct w:val="0"/>
        <w:autoSpaceDN/>
        <w:bidi w:val="0"/>
        <w:adjustRightInd/>
        <w:snapToGrid/>
        <w:spacing w:line="240" w:lineRule="auto"/>
        <w:jc w:val="right"/>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202</w:t>
      </w:r>
      <w:r>
        <w:rPr>
          <w:rFonts w:hint="eastAsia" w:ascii="仿宋_GB2312" w:hAnsi="仿宋_GB2312" w:eastAsia="仿宋_GB2312" w:cs="仿宋_GB2312"/>
          <w:bCs/>
          <w:color w:val="auto"/>
          <w:kern w:val="2"/>
          <w:sz w:val="32"/>
          <w:szCs w:val="32"/>
          <w:lang w:val="en-US" w:eastAsia="zh-CN"/>
        </w:rPr>
        <w:t>4</w:t>
      </w:r>
      <w:r>
        <w:rPr>
          <w:rFonts w:hint="eastAsia" w:ascii="仿宋_GB2312" w:hAnsi="仿宋_GB2312" w:eastAsia="仿宋_GB2312" w:cs="仿宋_GB2312"/>
          <w:bCs/>
          <w:color w:val="auto"/>
          <w:kern w:val="2"/>
          <w:sz w:val="32"/>
          <w:szCs w:val="32"/>
        </w:rPr>
        <w:t>年</w:t>
      </w:r>
      <w:r>
        <w:rPr>
          <w:rFonts w:hint="eastAsia" w:ascii="仿宋_GB2312" w:hAnsi="仿宋_GB2312" w:eastAsia="仿宋_GB2312" w:cs="仿宋_GB2312"/>
          <w:bCs/>
          <w:color w:val="auto"/>
          <w:kern w:val="2"/>
          <w:sz w:val="32"/>
          <w:szCs w:val="32"/>
          <w:lang w:val="en-US" w:eastAsia="zh-CN"/>
        </w:rPr>
        <w:t>8</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28</w:t>
      </w:r>
      <w:r>
        <w:rPr>
          <w:rFonts w:hint="eastAsia" w:ascii="仿宋_GB2312" w:hAnsi="仿宋_GB2312" w:eastAsia="仿宋_GB2312" w:cs="仿宋_GB2312"/>
          <w:bCs/>
          <w:color w:val="auto"/>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309FC"/>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C15DB"/>
    <w:rsid w:val="040522E6"/>
    <w:rsid w:val="052676B9"/>
    <w:rsid w:val="065F4C13"/>
    <w:rsid w:val="067A4160"/>
    <w:rsid w:val="068D2C8E"/>
    <w:rsid w:val="07457793"/>
    <w:rsid w:val="075E4CF7"/>
    <w:rsid w:val="083F517A"/>
    <w:rsid w:val="094A063D"/>
    <w:rsid w:val="0B5D3EFD"/>
    <w:rsid w:val="0C1F4E62"/>
    <w:rsid w:val="0E945CF6"/>
    <w:rsid w:val="0F2E3EDD"/>
    <w:rsid w:val="0F5D1C4A"/>
    <w:rsid w:val="103E7485"/>
    <w:rsid w:val="109332AD"/>
    <w:rsid w:val="10C6734C"/>
    <w:rsid w:val="110975EF"/>
    <w:rsid w:val="123A6A92"/>
    <w:rsid w:val="15962639"/>
    <w:rsid w:val="15CB4672"/>
    <w:rsid w:val="18C876D8"/>
    <w:rsid w:val="18CD45C3"/>
    <w:rsid w:val="1A1E2D66"/>
    <w:rsid w:val="1A4C59BC"/>
    <w:rsid w:val="1A8644D4"/>
    <w:rsid w:val="1A8A3DEE"/>
    <w:rsid w:val="1E2702D2"/>
    <w:rsid w:val="1F090131"/>
    <w:rsid w:val="20064364"/>
    <w:rsid w:val="255F7F7A"/>
    <w:rsid w:val="26E16D6F"/>
    <w:rsid w:val="270C65A6"/>
    <w:rsid w:val="280439A5"/>
    <w:rsid w:val="285A312D"/>
    <w:rsid w:val="2A7A44B6"/>
    <w:rsid w:val="2AAA21EC"/>
    <w:rsid w:val="2C0D6395"/>
    <w:rsid w:val="2C564AE2"/>
    <w:rsid w:val="2C83526D"/>
    <w:rsid w:val="2CCD7669"/>
    <w:rsid w:val="2EC623F0"/>
    <w:rsid w:val="2F2170EC"/>
    <w:rsid w:val="2F7C03F4"/>
    <w:rsid w:val="2F803CE6"/>
    <w:rsid w:val="2F85371B"/>
    <w:rsid w:val="31446FA4"/>
    <w:rsid w:val="337E574C"/>
    <w:rsid w:val="35F90EC2"/>
    <w:rsid w:val="36343014"/>
    <w:rsid w:val="39E73424"/>
    <w:rsid w:val="3B3C308E"/>
    <w:rsid w:val="3B77292C"/>
    <w:rsid w:val="3B86380F"/>
    <w:rsid w:val="3B91210A"/>
    <w:rsid w:val="3D6338A7"/>
    <w:rsid w:val="3E3D71C0"/>
    <w:rsid w:val="41EF42DB"/>
    <w:rsid w:val="438971C4"/>
    <w:rsid w:val="44074B99"/>
    <w:rsid w:val="446A2FDC"/>
    <w:rsid w:val="44AC6318"/>
    <w:rsid w:val="45372C41"/>
    <w:rsid w:val="45C73DD3"/>
    <w:rsid w:val="461D7186"/>
    <w:rsid w:val="48063470"/>
    <w:rsid w:val="493F188B"/>
    <w:rsid w:val="4BC73AB3"/>
    <w:rsid w:val="4F7B24B3"/>
    <w:rsid w:val="508616D6"/>
    <w:rsid w:val="51FB7A61"/>
    <w:rsid w:val="5309495A"/>
    <w:rsid w:val="537F7CF5"/>
    <w:rsid w:val="54C94F05"/>
    <w:rsid w:val="55357532"/>
    <w:rsid w:val="553A1EBE"/>
    <w:rsid w:val="560721BC"/>
    <w:rsid w:val="56F22CDD"/>
    <w:rsid w:val="5937277F"/>
    <w:rsid w:val="597F7DE2"/>
    <w:rsid w:val="5EAE4C28"/>
    <w:rsid w:val="5F9227FE"/>
    <w:rsid w:val="605273D9"/>
    <w:rsid w:val="606578D3"/>
    <w:rsid w:val="610D548C"/>
    <w:rsid w:val="61145934"/>
    <w:rsid w:val="62DF17E7"/>
    <w:rsid w:val="63303E21"/>
    <w:rsid w:val="64862F3F"/>
    <w:rsid w:val="65587D3D"/>
    <w:rsid w:val="655F16CC"/>
    <w:rsid w:val="672A3F5C"/>
    <w:rsid w:val="6A89291F"/>
    <w:rsid w:val="6AA91B5F"/>
    <w:rsid w:val="6B160A7F"/>
    <w:rsid w:val="6B79040F"/>
    <w:rsid w:val="6C177417"/>
    <w:rsid w:val="6DD16D1A"/>
    <w:rsid w:val="6ECE1688"/>
    <w:rsid w:val="703B6800"/>
    <w:rsid w:val="709B3F6E"/>
    <w:rsid w:val="71B42328"/>
    <w:rsid w:val="71CD08A3"/>
    <w:rsid w:val="71D86E6E"/>
    <w:rsid w:val="729C2018"/>
    <w:rsid w:val="72BD4AAA"/>
    <w:rsid w:val="74AC40E4"/>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337AB7"/>
      <w:u w:val="none"/>
    </w:rPr>
  </w:style>
  <w:style w:type="character" w:styleId="10">
    <w:name w:val="HTML Definition"/>
    <w:basedOn w:val="7"/>
    <w:semiHidden/>
    <w:unhideWhenUsed/>
    <w:qFormat/>
    <w:uiPriority w:val="99"/>
    <w:rPr>
      <w:i/>
      <w:iCs/>
    </w:rPr>
  </w:style>
  <w:style w:type="character" w:styleId="11">
    <w:name w:val="Hyperlink"/>
    <w:basedOn w:val="7"/>
    <w:semiHidden/>
    <w:unhideWhenUsed/>
    <w:qFormat/>
    <w:uiPriority w:val="99"/>
    <w:rPr>
      <w:color w:val="000000"/>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hint="default" w:ascii="Consolas" w:hAnsi="Consolas" w:eastAsia="Consolas" w:cs="Consolas"/>
      <w:sz w:val="21"/>
      <w:szCs w:val="21"/>
    </w:rPr>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 w:type="character" w:customStyle="1" w:styleId="17">
    <w:name w:val="actspan"/>
    <w:basedOn w:val="7"/>
    <w:qFormat/>
    <w:uiPriority w:val="0"/>
  </w:style>
  <w:style w:type="character" w:customStyle="1" w:styleId="18">
    <w:name w:val="layui-layer-tabnow"/>
    <w:basedOn w:val="7"/>
    <w:qFormat/>
    <w:uiPriority w:val="0"/>
    <w:rPr>
      <w:bdr w:val="single" w:color="CCCCCC" w:sz="6" w:space="0"/>
      <w:shd w:val="clear" w:fill="FFFFFF"/>
    </w:rPr>
  </w:style>
  <w:style w:type="character" w:customStyle="1" w:styleId="19">
    <w:name w:val="first-child"/>
    <w:basedOn w:val="7"/>
    <w:qFormat/>
    <w:uiPriority w:val="0"/>
  </w:style>
  <w:style w:type="character" w:customStyle="1" w:styleId="20">
    <w:name w:val="actspan2"/>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1755</Words>
  <Characters>2033</Characters>
  <Lines>11</Lines>
  <Paragraphs>3</Paragraphs>
  <TotalTime>2</TotalTime>
  <ScaleCrop>false</ScaleCrop>
  <LinksUpToDate>false</LinksUpToDate>
  <CharactersWithSpaces>2056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2024-08-23T08:33:03Z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