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龙门县市场物业管理有限公司七宗物业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55</w:t>
      </w:r>
      <w:r>
        <w:rPr>
          <w:rFonts w:hint="eastAsia" w:ascii="仿宋" w:hAnsi="仿宋" w:eastAsia="仿宋"/>
          <w:sz w:val="32"/>
          <w:szCs w:val="32"/>
          <w:lang w:val="en"/>
        </w:rPr>
        <w:t>号</w:t>
      </w:r>
    </w:p>
    <w:p>
      <w:pPr>
        <w:spacing w:line="560" w:lineRule="exact"/>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处物业，详见《龙门县市场物业管理有限公司七宗物业公开招租一览表》。所交易标的物以实物现状为准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价人</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价人</w:t>
      </w:r>
      <w:r>
        <w:rPr>
          <w:rFonts w:hint="eastAsia" w:ascii="仿宋" w:hAnsi="仿宋" w:eastAsia="仿宋"/>
          <w:sz w:val="32"/>
          <w:szCs w:val="32"/>
          <w:lang w:val="en-US" w:eastAsia="zh-CN"/>
        </w:rPr>
        <w:t>在市场租赁期内违约和竞投得铺位后弃标，不得竞投中心市场内的所有标的。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28</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28</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sz w:val="32"/>
          <w:szCs w:val="32"/>
        </w:rPr>
        <w:t>。</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 w:hAnsi="仿宋" w:eastAsia="仿宋" w:cs="Times New Roman"/>
          <w:b w:val="0"/>
          <w:bCs/>
          <w:color w:val="000000"/>
          <w:sz w:val="32"/>
          <w:szCs w:val="32"/>
          <w:lang w:val="en" w:eastAsia="zh-CN"/>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首次挂牌到期未成交的，</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按5个工作日为1个周期自动</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延期挂牌</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。龙门县龙城</w:t>
      </w:r>
      <w:r>
        <w:rPr>
          <w:rFonts w:hint="eastAsia" w:ascii="仿宋" w:hAnsi="仿宋" w:eastAsia="仿宋"/>
          <w:sz w:val="32"/>
          <w:szCs w:val="32"/>
          <w:lang w:val="en-US" w:eastAsia="zh-CN"/>
        </w:rPr>
        <w:t>中心市场北楼一楼9号延期至2025年5月6日，其余标的延期至2025年9月17日。</w:t>
      </w:r>
      <w:bookmarkStart w:id="0" w:name="_GoBack"/>
      <w:bookmarkEnd w:id="0"/>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龙门</w:t>
      </w:r>
      <w:r>
        <w:rPr>
          <w:rFonts w:hint="eastAsia" w:ascii="仿宋" w:hAnsi="仿宋" w:eastAsia="仿宋" w:cs="仿宋"/>
          <w:bCs/>
          <w:kern w:val="2"/>
          <w:sz w:val="32"/>
          <w:szCs w:val="32"/>
          <w:lang w:val="en-US" w:eastAsia="zh-CN"/>
        </w:rPr>
        <w:t>县</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市场物业管理有限公司</w:t>
      </w:r>
      <w:r>
        <w:rPr>
          <w:rFonts w:hint="eastAsia" w:ascii="仿宋" w:hAnsi="仿宋" w:eastAsia="仿宋" w:cs="仿宋"/>
          <w:bCs/>
          <w:kern w:val="2"/>
          <w:sz w:val="32"/>
          <w:szCs w:val="32"/>
          <w:lang w:val="en-US" w:eastAsia="zh-CN"/>
        </w:rPr>
        <w:t xml:space="preserve"> </w:t>
      </w:r>
      <w:r>
        <w:rPr>
          <w:rFonts w:hint="eastAsia" w:ascii="仿宋" w:hAnsi="仿宋" w:eastAsia="仿宋"/>
          <w:sz w:val="32"/>
          <w:szCs w:val="32"/>
          <w:lang w:val="en-US" w:eastAsia="zh-CN"/>
        </w:rPr>
        <w:t>何</w:t>
      </w:r>
      <w:r>
        <w:rPr>
          <w:rFonts w:hint="eastAsia" w:ascii="仿宋" w:hAnsi="仿宋" w:eastAsia="仿宋" w:cs="仿宋"/>
          <w:bCs/>
          <w:kern w:val="2"/>
          <w:sz w:val="32"/>
          <w:szCs w:val="32"/>
          <w:lang w:val="en-US" w:eastAsia="zh-CN"/>
        </w:rPr>
        <w:t xml:space="preserve">先生 </w:t>
      </w:r>
      <w:r>
        <w:rPr>
          <w:rFonts w:hint="eastAsia" w:ascii="仿宋" w:hAnsi="仿宋" w:eastAsia="仿宋"/>
          <w:sz w:val="32"/>
          <w:szCs w:val="32"/>
          <w:lang w:val="en-US" w:eastAsia="zh-CN"/>
        </w:rPr>
        <w:t>135 0222 1139</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14</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5962639"/>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490752A"/>
    <w:rsid w:val="35F90EC2"/>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93F188B"/>
    <w:rsid w:val="495821EB"/>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1558</Words>
  <Characters>1730</Characters>
  <Lines>11</Lines>
  <Paragraphs>3</Paragraphs>
  <TotalTime>0</TotalTime>
  <ScaleCrop>false</ScaleCrop>
  <LinksUpToDate>false</LinksUpToDate>
  <CharactersWithSpaces>1746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2024-10-12T01:49:01Z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