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龙门县城市建设投资有限公司物业</w:t>
      </w:r>
      <w:r>
        <w:rPr>
          <w:rFonts w:hint="eastAsia" w:ascii="宋体" w:hAnsi="宋体" w:eastAsia="宋体" w:cs="宋体"/>
          <w:b/>
          <w:bCs/>
          <w:sz w:val="44"/>
          <w:szCs w:val="44"/>
          <w:lang w:val="en-US" w:eastAsia="zh-CN"/>
        </w:rPr>
        <w:t>城投大厦第11层四间房屋</w:t>
      </w:r>
      <w:r>
        <w:rPr>
          <w:rFonts w:hint="eastAsia" w:ascii="宋体" w:hAnsi="宋体" w:eastAsia="宋体" w:cs="宋体"/>
          <w:b/>
          <w:bCs/>
          <w:sz w:val="44"/>
          <w:szCs w:val="44"/>
        </w:rPr>
        <w:t>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20</w:t>
      </w:r>
      <w:r>
        <w:rPr>
          <w:rFonts w:hint="eastAsia" w:ascii="仿宋" w:hAnsi="仿宋" w:eastAsia="仿宋"/>
          <w:sz w:val="32"/>
          <w:szCs w:val="32"/>
          <w:lang w:val="en"/>
        </w:rPr>
        <w:t>号</w:t>
      </w:r>
    </w:p>
    <w:p>
      <w:pPr>
        <w:numPr>
          <w:ilvl w:val="0"/>
          <w:numId w:val="0"/>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处物业，详见《龙门县城市建设投资有限公司物业城投大厦第11层四间房屋公开招租一览表》。所交易标的物以实物现状为准。</w:t>
      </w:r>
      <w:bookmarkStart w:id="0" w:name="_GoBack"/>
      <w:bookmarkEnd w:id="0"/>
      <w:r>
        <w:rPr>
          <w:rFonts w:hint="eastAsia" w:ascii="仿宋" w:hAnsi="仿宋" w:eastAsia="仿宋" w:cs="仿宋"/>
          <w:bCs/>
          <w:color w:val="000000" w:themeColor="text1"/>
          <w:sz w:val="32"/>
          <w:szCs w:val="32"/>
          <w:lang w:val="en-US" w:eastAsia="zh-CN"/>
          <w14:textFill>
            <w14:solidFill>
              <w14:schemeClr w14:val="tx1"/>
            </w14:solidFill>
          </w14:textFill>
        </w:rPr>
        <w:t>竞买人必须是</w:t>
      </w:r>
      <w:r>
        <w:rPr>
          <w:rFonts w:hint="eastAsia" w:ascii="仿宋" w:hAnsi="仿宋" w:eastAsia="仿宋" w:cs="仿宋"/>
          <w:bCs/>
          <w:color w:val="000000" w:themeColor="text1"/>
          <w:sz w:val="32"/>
          <w:szCs w:val="32"/>
          <w14:textFill>
            <w14:solidFill>
              <w14:schemeClr w14:val="tx1"/>
            </w14:solidFill>
          </w14:textFill>
        </w:rPr>
        <w:t>中华人民共和国境内具有完全民事行为能力的公民；或依法注册、有效存续的企业法人，或具备合法资格的其他组织。</w:t>
      </w:r>
      <w:r>
        <w:rPr>
          <w:rFonts w:hint="eastAsia" w:ascii="仿宋" w:hAnsi="仿宋" w:eastAsia="仿宋" w:cs="仿宋"/>
          <w:bCs/>
          <w:color w:val="000000" w:themeColor="text1"/>
          <w:sz w:val="32"/>
          <w:szCs w:val="32"/>
          <w:lang w:val="en-US" w:eastAsia="zh-CN"/>
          <w14:textFill>
            <w14:solidFill>
              <w14:schemeClr w14:val="tx1"/>
            </w14:solidFill>
          </w14:textFill>
        </w:rPr>
        <w:t>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16</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29</w:t>
      </w:r>
      <w:r>
        <w:rPr>
          <w:rFonts w:hint="eastAsia" w:ascii="仿宋" w:hAnsi="仿宋" w:eastAsia="仿宋" w:cs="仿宋"/>
          <w:bCs/>
          <w:color w:val="000000" w:themeColor="text1"/>
          <w:sz w:val="32"/>
          <w:szCs w:val="32"/>
          <w14:textFill>
            <w14:solidFill>
              <w14:schemeClr w14:val="tx1"/>
            </w14:solidFill>
          </w14:textFill>
        </w:rPr>
        <w:t>日9:30。自由报价时间：20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16</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29</w:t>
      </w:r>
      <w:r>
        <w:rPr>
          <w:rFonts w:hint="eastAsia" w:ascii="仿宋" w:hAnsi="仿宋" w:eastAsia="仿宋" w:cs="仿宋"/>
          <w:bCs/>
          <w:color w:val="000000" w:themeColor="text1"/>
          <w:sz w:val="32"/>
          <w:szCs w:val="32"/>
          <w14:textFill>
            <w14:solidFill>
              <w14:schemeClr w14:val="tx1"/>
            </w14:solidFill>
          </w14:textFill>
        </w:rPr>
        <w:t>日10:00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7"/>
          <w:rFonts w:hint="eastAsia" w:ascii="仿宋" w:hAnsi="仿宋" w:eastAsia="仿宋" w:cs="Times New Roman"/>
          <w:b w:val="0"/>
          <w:bCs/>
          <w:color w:val="000000"/>
          <w:sz w:val="30"/>
          <w:szCs w:val="30"/>
          <w:lang w:val="en" w:eastAsia="zh-CN"/>
        </w:rPr>
      </w:pPr>
      <w:r>
        <w:rPr>
          <w:rFonts w:hint="eastAsia" w:ascii="仿宋" w:hAnsi="仿宋" w:eastAsia="仿宋" w:cs="仿宋"/>
          <w:bCs/>
          <w:sz w:val="32"/>
          <w:szCs w:val="32"/>
        </w:rPr>
        <w:t>四、首次挂牌到期未成交的，</w:t>
      </w:r>
      <w:r>
        <w:rPr>
          <w:rStyle w:val="7"/>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延期挂牌</w:t>
      </w:r>
      <w:r>
        <w:rPr>
          <w:rFonts w:hint="eastAsia" w:ascii="仿宋" w:hAnsi="仿宋" w:eastAsia="仿宋"/>
          <w:sz w:val="32"/>
          <w:szCs w:val="32"/>
          <w:lang w:eastAsia="zh-CN"/>
        </w:rPr>
        <w:t>，</w:t>
      </w:r>
      <w:r>
        <w:rPr>
          <w:rStyle w:val="7"/>
          <w:rFonts w:hint="eastAsia" w:ascii="仿宋" w:hAnsi="仿宋" w:eastAsia="仿宋" w:cs="Times New Roman"/>
          <w:b w:val="0"/>
          <w:bCs/>
          <w:color w:val="000000"/>
          <w:sz w:val="30"/>
          <w:szCs w:val="30"/>
          <w:lang w:val="en" w:eastAsia="zh-CN"/>
        </w:rPr>
        <w:t>延期挂牌至2025年1月29日止。</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ascii="仿宋" w:hAnsi="仿宋" w:eastAsia="仿宋" w:cs="仿宋"/>
          <w:bCs/>
          <w:sz w:val="32"/>
          <w:szCs w:val="32"/>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tabs>
          <w:tab w:val="left" w:pos="4158"/>
        </w:tabs>
        <w:spacing w:line="560" w:lineRule="exact"/>
        <w:ind w:firstLine="617"/>
        <w:rPr>
          <w:rFonts w:hint="eastAsia" w:ascii="仿宋" w:hAnsi="仿宋" w:eastAsia="仿宋" w:cs="仿宋"/>
          <w:bCs/>
          <w:kern w:val="2"/>
          <w:sz w:val="32"/>
          <w:szCs w:val="32"/>
        </w:rPr>
      </w:pPr>
      <w:r>
        <w:rPr>
          <w:rFonts w:ascii="仿宋" w:hAnsi="仿宋" w:eastAsia="仿宋" w:cs="仿宋"/>
          <w:bCs/>
          <w:kern w:val="2"/>
          <w:sz w:val="32"/>
          <w:szCs w:val="32"/>
        </w:rPr>
        <w:t>1、</w:t>
      </w:r>
      <w:r>
        <w:rPr>
          <w:rFonts w:hint="eastAsia" w:ascii="仿宋" w:hAnsi="仿宋" w:eastAsia="仿宋" w:cs="仿宋"/>
          <w:bCs/>
          <w:kern w:val="2"/>
          <w:sz w:val="32"/>
          <w:szCs w:val="32"/>
        </w:rPr>
        <w:t>业主方：</w:t>
      </w:r>
    </w:p>
    <w:p>
      <w:pPr>
        <w:tabs>
          <w:tab w:val="left" w:pos="4158"/>
        </w:tabs>
        <w:spacing w:line="560" w:lineRule="exact"/>
        <w:ind w:firstLine="617"/>
        <w:rPr>
          <w:rFonts w:hint="default" w:ascii="仿宋" w:hAnsi="仿宋" w:eastAsia="仿宋" w:cs="仿宋"/>
          <w:bCs/>
          <w:kern w:val="2"/>
          <w:sz w:val="32"/>
          <w:szCs w:val="32"/>
          <w:lang w:val="en-US"/>
        </w:rPr>
      </w:pPr>
      <w:r>
        <w:rPr>
          <w:rFonts w:hint="eastAsia" w:ascii="仿宋" w:hAnsi="仿宋" w:eastAsia="仿宋" w:cs="仿宋"/>
          <w:bCs/>
          <w:color w:val="000000" w:themeColor="text1"/>
          <w:sz w:val="32"/>
          <w:szCs w:val="32"/>
          <w14:textFill>
            <w14:solidFill>
              <w14:schemeClr w14:val="tx1"/>
            </w14:solidFill>
          </w14:textFill>
        </w:rPr>
        <w:t>龙门县城市建设投资有限公司</w:t>
      </w:r>
      <w:r>
        <w:rPr>
          <w:rFonts w:hint="eastAsia" w:ascii="仿宋" w:hAnsi="仿宋" w:eastAsia="仿宋" w:cs="仿宋"/>
          <w:bCs/>
          <w:kern w:val="2"/>
          <w:sz w:val="32"/>
          <w:szCs w:val="32"/>
          <w:lang w:val="en-US" w:eastAsia="zh-CN"/>
        </w:rPr>
        <w:t xml:space="preserve"> </w:t>
      </w:r>
      <w:r>
        <w:rPr>
          <w:rFonts w:hint="eastAsia" w:ascii="仿宋" w:hAnsi="仿宋" w:eastAsia="仿宋"/>
          <w:sz w:val="32"/>
          <w:szCs w:val="32"/>
          <w:lang w:val="en-US" w:eastAsia="zh-CN"/>
        </w:rPr>
        <w:t>石女士</w:t>
      </w:r>
      <w:r>
        <w:rPr>
          <w:rFonts w:hint="eastAsia" w:ascii="仿宋" w:hAnsi="仿宋" w:eastAsia="仿宋"/>
          <w:color w:val="auto"/>
          <w:sz w:val="32"/>
          <w:szCs w:val="32"/>
          <w:lang w:val="en-US" w:eastAsia="zh-CN"/>
        </w:rPr>
        <w:t xml:space="preserve"> </w:t>
      </w:r>
      <w:r>
        <w:rPr>
          <w:rFonts w:hint="eastAsia" w:ascii="仿宋" w:hAnsi="仿宋" w:eastAsia="仿宋"/>
          <w:sz w:val="32"/>
          <w:szCs w:val="32"/>
          <w:lang w:val="en-US" w:eastAsia="zh-CN"/>
        </w:rPr>
        <w:t>0752-7894772</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4</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16</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3A0319B"/>
    <w:rsid w:val="040522E6"/>
    <w:rsid w:val="065F4C13"/>
    <w:rsid w:val="067A4160"/>
    <w:rsid w:val="068D2C8E"/>
    <w:rsid w:val="07457793"/>
    <w:rsid w:val="075E4CF7"/>
    <w:rsid w:val="090D2CD0"/>
    <w:rsid w:val="094A063D"/>
    <w:rsid w:val="0A3A07BE"/>
    <w:rsid w:val="0B5D3EFD"/>
    <w:rsid w:val="0C1F4E62"/>
    <w:rsid w:val="0E945CF6"/>
    <w:rsid w:val="0F2E3EDD"/>
    <w:rsid w:val="0F5D1C4A"/>
    <w:rsid w:val="102D7777"/>
    <w:rsid w:val="109332AD"/>
    <w:rsid w:val="10C6734C"/>
    <w:rsid w:val="110975EF"/>
    <w:rsid w:val="123A6A92"/>
    <w:rsid w:val="12703522"/>
    <w:rsid w:val="15962639"/>
    <w:rsid w:val="184C6FDF"/>
    <w:rsid w:val="18C876D8"/>
    <w:rsid w:val="18CD45C3"/>
    <w:rsid w:val="1A4C59BC"/>
    <w:rsid w:val="1A8A3DEE"/>
    <w:rsid w:val="1BCC31A3"/>
    <w:rsid w:val="1CAF74D8"/>
    <w:rsid w:val="1E101727"/>
    <w:rsid w:val="1E2702D2"/>
    <w:rsid w:val="1E8223CA"/>
    <w:rsid w:val="1F090131"/>
    <w:rsid w:val="219C5FCA"/>
    <w:rsid w:val="255F7F7A"/>
    <w:rsid w:val="270C65A6"/>
    <w:rsid w:val="280439A5"/>
    <w:rsid w:val="285A312D"/>
    <w:rsid w:val="2A0061A4"/>
    <w:rsid w:val="2A7A44B6"/>
    <w:rsid w:val="2AAA21EC"/>
    <w:rsid w:val="2C0D6395"/>
    <w:rsid w:val="2C83526D"/>
    <w:rsid w:val="2CCD7669"/>
    <w:rsid w:val="2EC623F0"/>
    <w:rsid w:val="2F2170EC"/>
    <w:rsid w:val="2F7C03F4"/>
    <w:rsid w:val="2F803CE6"/>
    <w:rsid w:val="2F85371B"/>
    <w:rsid w:val="31446FA4"/>
    <w:rsid w:val="337E574C"/>
    <w:rsid w:val="35F90EC2"/>
    <w:rsid w:val="3B3C308E"/>
    <w:rsid w:val="3B77292C"/>
    <w:rsid w:val="3B91210A"/>
    <w:rsid w:val="3C9A4F77"/>
    <w:rsid w:val="3D6338A7"/>
    <w:rsid w:val="3E3D71C0"/>
    <w:rsid w:val="3E6C2684"/>
    <w:rsid w:val="41EF42DB"/>
    <w:rsid w:val="43692541"/>
    <w:rsid w:val="438971C4"/>
    <w:rsid w:val="44074B99"/>
    <w:rsid w:val="44AC6318"/>
    <w:rsid w:val="45372C41"/>
    <w:rsid w:val="45C73DD3"/>
    <w:rsid w:val="461D7186"/>
    <w:rsid w:val="4771627F"/>
    <w:rsid w:val="493F188B"/>
    <w:rsid w:val="4F7B24B3"/>
    <w:rsid w:val="508616D6"/>
    <w:rsid w:val="51FB7A61"/>
    <w:rsid w:val="5309495A"/>
    <w:rsid w:val="537F7CF5"/>
    <w:rsid w:val="54C94F05"/>
    <w:rsid w:val="55357532"/>
    <w:rsid w:val="553A1EBE"/>
    <w:rsid w:val="560721BC"/>
    <w:rsid w:val="56E64437"/>
    <w:rsid w:val="59513D66"/>
    <w:rsid w:val="597F7DE2"/>
    <w:rsid w:val="59A270AB"/>
    <w:rsid w:val="5F9227FE"/>
    <w:rsid w:val="605273D9"/>
    <w:rsid w:val="606578D3"/>
    <w:rsid w:val="610D548C"/>
    <w:rsid w:val="61145934"/>
    <w:rsid w:val="625C14A1"/>
    <w:rsid w:val="63303E21"/>
    <w:rsid w:val="64862F3F"/>
    <w:rsid w:val="655F16CC"/>
    <w:rsid w:val="672A3F5C"/>
    <w:rsid w:val="6A89291F"/>
    <w:rsid w:val="6AA91B5F"/>
    <w:rsid w:val="6B160A7F"/>
    <w:rsid w:val="6B79040F"/>
    <w:rsid w:val="6C177417"/>
    <w:rsid w:val="6DD16D1A"/>
    <w:rsid w:val="6DE253BD"/>
    <w:rsid w:val="6ECE1688"/>
    <w:rsid w:val="6ED563C7"/>
    <w:rsid w:val="703B6800"/>
    <w:rsid w:val="71B42328"/>
    <w:rsid w:val="71CD08A3"/>
    <w:rsid w:val="71D86E6E"/>
    <w:rsid w:val="729C2018"/>
    <w:rsid w:val="72BD4AAA"/>
    <w:rsid w:val="75063912"/>
    <w:rsid w:val="776828FE"/>
    <w:rsid w:val="78B86AA8"/>
    <w:rsid w:val="79D456B9"/>
    <w:rsid w:val="7B95505A"/>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1484</Words>
  <Characters>1748</Characters>
  <Lines>11</Lines>
  <Paragraphs>3</Paragraphs>
  <TotalTime>0</TotalTime>
  <ScaleCrop>false</ScaleCrop>
  <LinksUpToDate>false</LinksUpToDate>
  <CharactersWithSpaces>1770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guiyu</cp:lastModifiedBy>
  <cp:lastPrinted>2022-03-08T02:52:00Z</cp:lastPrinted>
  <dcterms:modified xsi:type="dcterms:W3CDTF">2024-04-12T07:29:45Z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