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龙门县土产日杂公司、广东龙门产业投资集团有限公司、龙门县龙供社有资产运营</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29</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3宗物业：</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14"/>
        <w:gridCol w:w="1782"/>
        <w:gridCol w:w="1035"/>
        <w:gridCol w:w="1034"/>
        <w:gridCol w:w="900"/>
        <w:gridCol w:w="1013"/>
        <w:gridCol w:w="1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龙门县土产日杂公司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龙门县龙城街道新兴路37-1号（证载地址：龙门县龙城镇仁善里1号）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0.86</w:t>
            </w:r>
            <w:bookmarkStart w:id="3" w:name="_GoBack"/>
            <w:bookmarkEnd w:id="3"/>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广东龙门产业投资集团有限公司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龙门县龙城街道西林路5号二至四层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523.01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0.2615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龙门县龙供社有资产运营有限公司</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龙门县龙城街道城东路供销大厦首层一处仓库(现万家福后门旁)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74.29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5月13日9:30至2026年5月27日9:30。自由报价时间：2026年5月13日9:30至2026年5月27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日期详见</w:t>
      </w:r>
      <w:r>
        <w:rPr>
          <w:rFonts w:hint="eastAsia" w:ascii="仿宋" w:hAnsi="仿宋" w:eastAsia="仿宋" w:cs="仿宋"/>
          <w:b/>
          <w:bCs w:val="0"/>
          <w:color w:val="FF0000"/>
          <w:sz w:val="32"/>
          <w:szCs w:val="32"/>
          <w:lang w:val="en-US" w:eastAsia="zh-CN"/>
        </w:rPr>
        <w:t>《龙门县土产日杂公司、广东龙门产业投资集团有限公司、龙门县龙供社有资产运营有限公司物业公开招租一览表》</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1、业主方：详见《龙门县土产日杂公司、广东龙门产业投资集团有限公司、龙门县龙供社有资产运营有限公司物业公开招租一览表》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6C7678"/>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A959A1"/>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1677</Words>
  <Characters>1792</Characters>
  <Lines>11</Lines>
  <Paragraphs>3</Paragraphs>
  <TotalTime>0</TotalTime>
  <ScaleCrop>false</ScaleCrop>
  <LinksUpToDate>false</LinksUpToDate>
  <CharactersWithSpaces>1801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2026-05-11T07:23:55Z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