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line="500" w:lineRule="exact"/>
        <w:jc w:val="center"/>
        <w:rPr>
          <w:rFonts w:hint="eastAsia" w:ascii="宋体" w:hAnsi="宋体" w:eastAsia="宋体" w:cs="宋体"/>
          <w:b/>
          <w:bCs/>
          <w:sz w:val="44"/>
          <w:szCs w:val="44"/>
          <w:lang w:val="en-US" w:eastAsia="zh-CN"/>
        </w:rPr>
      </w:pPr>
      <w:bookmarkStart w:id="0" w:name="OLE_LINK1"/>
      <w:r>
        <w:rPr>
          <w:rFonts w:hint="eastAsia" w:ascii="宋体" w:hAnsi="宋体" w:eastAsia="宋体" w:cs="宋体"/>
          <w:b/>
          <w:bCs/>
          <w:sz w:val="44"/>
          <w:szCs w:val="44"/>
          <w:lang w:val="en-US" w:eastAsia="zh-CN"/>
        </w:rPr>
        <w:t>龙门县国有资产事务中心第</w:t>
      </w:r>
      <w:r>
        <w:rPr>
          <w:rFonts w:hint="eastAsia" w:cs="宋体"/>
          <w:b/>
          <w:bCs/>
          <w:sz w:val="44"/>
          <w:szCs w:val="44"/>
          <w:lang w:val="en-US" w:eastAsia="zh-CN"/>
        </w:rPr>
        <w:t>二</w:t>
      </w:r>
      <w:r>
        <w:rPr>
          <w:rFonts w:hint="eastAsia" w:ascii="宋体" w:hAnsi="宋体" w:eastAsia="宋体" w:cs="宋体"/>
          <w:b/>
          <w:bCs/>
          <w:sz w:val="44"/>
          <w:szCs w:val="44"/>
          <w:lang w:val="en-US" w:eastAsia="zh-CN"/>
        </w:rPr>
        <w:t>次物业公开招租公告</w:t>
      </w:r>
    </w:p>
    <w:p>
      <w:pPr>
        <w:pStyle w:val="4"/>
        <w:shd w:val="clear" w:color="auto" w:fill="FFFFFF"/>
        <w:spacing w:line="500" w:lineRule="exact"/>
        <w:jc w:val="right"/>
        <w:rPr>
          <w:rFonts w:ascii="仿宋" w:hAnsi="仿宋" w:eastAsia="仿宋"/>
          <w:sz w:val="32"/>
          <w:szCs w:val="32"/>
          <w:lang w:val="en"/>
        </w:rPr>
      </w:pPr>
      <w:r>
        <w:rPr>
          <w:rFonts w:ascii="仿宋" w:hAnsi="仿宋" w:eastAsia="仿宋"/>
          <w:sz w:val="32"/>
          <w:szCs w:val="32"/>
          <w:lang w:val="en"/>
        </w:rPr>
        <w:t>惠公易产龙门</w:t>
      </w:r>
      <w:r>
        <w:rPr>
          <w:rFonts w:hint="eastAsia" w:ascii="仿宋" w:hAnsi="仿宋" w:eastAsia="仿宋"/>
          <w:sz w:val="32"/>
          <w:szCs w:val="32"/>
          <w:lang w:val="en"/>
        </w:rPr>
        <w:t>[202</w:t>
      </w:r>
      <w:r>
        <w:rPr>
          <w:rFonts w:hint="eastAsia" w:ascii="仿宋" w:hAnsi="仿宋" w:eastAsia="仿宋"/>
          <w:sz w:val="32"/>
          <w:szCs w:val="32"/>
          <w:lang w:val="en-US" w:eastAsia="zh-CN"/>
        </w:rPr>
        <w:t>5</w:t>
      </w:r>
      <w:r>
        <w:rPr>
          <w:rFonts w:hint="eastAsia" w:ascii="仿宋" w:hAnsi="仿宋" w:eastAsia="仿宋"/>
          <w:sz w:val="32"/>
          <w:szCs w:val="32"/>
          <w:lang w:val="en"/>
        </w:rPr>
        <w:t>] 0</w:t>
      </w:r>
      <w:r>
        <w:rPr>
          <w:rFonts w:hint="eastAsia" w:ascii="仿宋" w:hAnsi="仿宋" w:eastAsia="仿宋"/>
          <w:sz w:val="32"/>
          <w:szCs w:val="32"/>
          <w:lang w:val="en-US" w:eastAsia="zh-CN"/>
        </w:rPr>
        <w:t>03</w:t>
      </w:r>
      <w:r>
        <w:rPr>
          <w:rFonts w:hint="eastAsia" w:ascii="仿宋" w:hAnsi="仿宋" w:eastAsia="仿宋"/>
          <w:sz w:val="32"/>
          <w:szCs w:val="32"/>
          <w:lang w:val="en"/>
        </w:rPr>
        <w:t>号</w:t>
      </w:r>
    </w:p>
    <w:p>
      <w:pPr>
        <w:numPr>
          <w:ilvl w:val="0"/>
          <w:numId w:val="0"/>
        </w:num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kern w:val="2"/>
          <w:sz w:val="32"/>
          <w:szCs w:val="32"/>
          <w:lang w:val="en-US" w:eastAsia="zh-CN" w:bidi="ar-SA"/>
          <w14:textFill>
            <w14:solidFill>
              <w14:schemeClr w14:val="tx1"/>
            </w14:solidFill>
          </w14:textFill>
        </w:rPr>
        <w:t>一、</w:t>
      </w:r>
      <w:r>
        <w:rPr>
          <w:rFonts w:hint="eastAsia" w:ascii="仿宋" w:hAnsi="仿宋" w:eastAsia="仿宋" w:cs="仿宋"/>
          <w:bCs/>
          <w:color w:val="000000" w:themeColor="text1"/>
          <w:sz w:val="32"/>
          <w:szCs w:val="32"/>
          <w14:textFill>
            <w14:solidFill>
              <w14:schemeClr w14:val="tx1"/>
            </w14:solidFill>
          </w14:textFill>
        </w:rPr>
        <w:t>受委托，挂牌招租</w:t>
      </w:r>
      <w:r>
        <w:rPr>
          <w:rFonts w:hint="eastAsia" w:ascii="仿宋" w:hAnsi="仿宋" w:eastAsia="仿宋" w:cs="仿宋"/>
          <w:bCs/>
          <w:color w:val="000000" w:themeColor="text1"/>
          <w:sz w:val="32"/>
          <w:szCs w:val="32"/>
          <w:lang w:val="en-US" w:eastAsia="zh-CN"/>
          <w14:textFill>
            <w14:solidFill>
              <w14:schemeClr w14:val="tx1"/>
            </w14:solidFill>
          </w14:textFill>
        </w:rPr>
        <w:t>32</w:t>
      </w:r>
      <w:r>
        <w:rPr>
          <w:rFonts w:hint="eastAsia" w:ascii="仿宋" w:hAnsi="仿宋" w:eastAsia="仿宋" w:cs="仿宋"/>
          <w:bCs/>
          <w:color w:val="000000" w:themeColor="text1"/>
          <w:sz w:val="32"/>
          <w:szCs w:val="32"/>
          <w14:textFill>
            <w14:solidFill>
              <w14:schemeClr w14:val="tx1"/>
            </w14:solidFill>
          </w14:textFill>
        </w:rPr>
        <w:t>处物业，详见《龙门县国有资产事务中心第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次物业公开招租一览表》。所交易标的物以实物现状为准。</w:t>
      </w:r>
      <w:r>
        <w:rPr>
          <w:rFonts w:hint="eastAsia" w:ascii="仿宋" w:hAnsi="仿宋" w:eastAsia="仿宋" w:cs="仿宋"/>
          <w:bCs/>
          <w:color w:val="000000" w:themeColor="text1"/>
          <w:sz w:val="32"/>
          <w:szCs w:val="32"/>
          <w:lang w:eastAsia="zh-CN"/>
          <w14:textFill>
            <w14:solidFill>
              <w14:schemeClr w14:val="tx1"/>
            </w14:solidFill>
          </w14:textFill>
        </w:rPr>
        <w:t>竞价方须是中华人民共和国境内具有完全民事行为能力的公民；或依法注册、有效存续的企业法人，</w:t>
      </w:r>
      <w:bookmarkStart w:id="1" w:name="_GoBack"/>
      <w:bookmarkEnd w:id="1"/>
      <w:r>
        <w:rPr>
          <w:rFonts w:hint="eastAsia" w:ascii="仿宋" w:hAnsi="仿宋" w:eastAsia="仿宋" w:cs="仿宋"/>
          <w:bCs/>
          <w:color w:val="000000" w:themeColor="text1"/>
          <w:sz w:val="32"/>
          <w:szCs w:val="32"/>
          <w:lang w:eastAsia="zh-CN"/>
          <w14:textFill>
            <w14:solidFill>
              <w14:schemeClr w14:val="tx1"/>
            </w14:solidFill>
          </w14:textFill>
        </w:rPr>
        <w:t>或具备合法资格的其他组织。不接受联合体报名。</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二、上述标的实行网上挂牌交易，交易全程适用《惠州市政务服务数据管理局 惠州市公共资源交易中心公共资源电子交易规则》（惠市政数〔2022〕3号），全程网上报名、缴纳保证金、报价、竞价。报名起止时间</w:t>
      </w:r>
      <w:r>
        <w:rPr>
          <w:rFonts w:hint="eastAsia" w:ascii="仿宋" w:hAnsi="仿宋" w:eastAsia="仿宋" w:cs="仿宋"/>
          <w:bCs/>
          <w:color w:val="000000" w:themeColor="text1"/>
          <w:sz w:val="32"/>
          <w:szCs w:val="32"/>
          <w:lang w:eastAsia="zh-CN"/>
          <w14:textFill>
            <w14:solidFill>
              <w14:schemeClr w14:val="tx1"/>
            </w14:solidFill>
          </w14:textFill>
        </w:rPr>
        <w:t>和</w:t>
      </w:r>
      <w:r>
        <w:rPr>
          <w:rFonts w:hint="eastAsia" w:ascii="仿宋" w:hAnsi="仿宋" w:eastAsia="仿宋" w:cs="仿宋"/>
          <w:bCs/>
          <w:color w:val="000000" w:themeColor="text1"/>
          <w:sz w:val="32"/>
          <w:szCs w:val="32"/>
          <w14:textFill>
            <w14:solidFill>
              <w14:schemeClr w14:val="tx1"/>
            </w14:solidFill>
          </w14:textFill>
        </w:rPr>
        <w:t>自由报价时间</w:t>
      </w:r>
      <w:r>
        <w:rPr>
          <w:rFonts w:hint="eastAsia" w:ascii="仿宋" w:hAnsi="仿宋" w:eastAsia="仿宋" w:cs="仿宋"/>
          <w:bCs/>
          <w:color w:val="000000" w:themeColor="text1"/>
          <w:sz w:val="32"/>
          <w:szCs w:val="32"/>
          <w:lang w:eastAsia="zh-CN"/>
          <w14:textFill>
            <w14:solidFill>
              <w14:schemeClr w14:val="tx1"/>
            </w14:solidFill>
          </w14:textFill>
        </w:rPr>
        <w:t>详见以下表格</w:t>
      </w:r>
      <w:r>
        <w:rPr>
          <w:rStyle w:val="8"/>
          <w:rFonts w:hint="eastAsia" w:ascii="仿宋" w:hAnsi="仿宋" w:eastAsia="仿宋"/>
          <w:color w:val="FF0000"/>
          <w:sz w:val="32"/>
          <w:szCs w:val="32"/>
          <w:lang w:val="en"/>
        </w:rPr>
        <w:t>（序号参考</w:t>
      </w:r>
      <w:r>
        <w:rPr>
          <w:rStyle w:val="8"/>
          <w:rFonts w:hint="eastAsia" w:ascii="仿宋" w:hAnsi="仿宋" w:eastAsia="仿宋" w:cs="Times New Roman"/>
          <w:color w:val="FF0000"/>
          <w:sz w:val="32"/>
          <w:szCs w:val="32"/>
          <w:lang w:val="en"/>
        </w:rPr>
        <w:t>《龙门县国有资产事务中心第</w:t>
      </w:r>
      <w:r>
        <w:rPr>
          <w:rStyle w:val="8"/>
          <w:rFonts w:hint="eastAsia" w:ascii="仿宋" w:hAnsi="仿宋" w:eastAsia="仿宋" w:cs="Times New Roman"/>
          <w:color w:val="FF0000"/>
          <w:sz w:val="32"/>
          <w:szCs w:val="32"/>
          <w:lang w:val="en-US" w:eastAsia="zh-CN"/>
        </w:rPr>
        <w:t>二</w:t>
      </w:r>
      <w:r>
        <w:rPr>
          <w:rStyle w:val="8"/>
          <w:rFonts w:hint="eastAsia" w:ascii="仿宋" w:hAnsi="仿宋" w:eastAsia="仿宋" w:cs="Times New Roman"/>
          <w:color w:val="FF0000"/>
          <w:sz w:val="32"/>
          <w:szCs w:val="32"/>
          <w:lang w:val="en"/>
        </w:rPr>
        <w:t>次物业公开招租一览表》中的标的序号）</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color w:val="000000" w:themeColor="text1"/>
          <w:sz w:val="32"/>
          <w:szCs w:val="32"/>
          <w:lang w:eastAsia="zh-CN"/>
          <w14:textFill>
            <w14:solidFill>
              <w14:schemeClr w14:val="tx1"/>
            </w14:solidFill>
          </w14:textFill>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2266"/>
        <w:gridCol w:w="2267"/>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trPr>
        <w:tc>
          <w:tcPr>
            <w:tcW w:w="1291"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US" w:eastAsia="zh-CN"/>
                <w14:textFill>
                  <w14:solidFill>
                    <w14:schemeClr w14:val="tx1"/>
                  </w14:solidFill>
                </w14:textFill>
              </w:rPr>
              <w:t>标的</w:t>
            </w:r>
            <w:r>
              <w:rPr>
                <w:rStyle w:val="8"/>
                <w:rFonts w:hint="eastAsia" w:ascii="仿宋" w:hAnsi="仿宋" w:eastAsia="仿宋"/>
                <w:color w:val="000000" w:themeColor="text1"/>
                <w:sz w:val="24"/>
                <w:szCs w:val="24"/>
                <w:lang w:val="en"/>
                <w14:textFill>
                  <w14:solidFill>
                    <w14:schemeClr w14:val="tx1"/>
                  </w14:solidFill>
                </w14:textFill>
              </w:rPr>
              <w:t>序号</w:t>
            </w:r>
          </w:p>
        </w:tc>
        <w:tc>
          <w:tcPr>
            <w:tcW w:w="2266" w:type="dxa"/>
          </w:tcPr>
          <w:p>
            <w:pPr>
              <w:pStyle w:val="4"/>
              <w:autoSpaceDE w:val="0"/>
              <w:spacing w:line="240" w:lineRule="auto"/>
              <w:jc w:val="center"/>
              <w:rPr>
                <w:rStyle w:val="8"/>
                <w:rFonts w:hint="eastAsia" w:ascii="仿宋" w:hAnsi="仿宋" w:eastAsia="仿宋"/>
                <w:color w:val="000000" w:themeColor="text1"/>
                <w:sz w:val="24"/>
                <w:szCs w:val="24"/>
                <w:lang w:val="en" w:eastAsia="zh-C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开始</w:t>
            </w:r>
            <w:r>
              <w:rPr>
                <w:rStyle w:val="8"/>
                <w:rFonts w:hint="eastAsia" w:ascii="仿宋" w:hAnsi="仿宋" w:eastAsia="仿宋"/>
                <w:color w:val="000000" w:themeColor="text1"/>
                <w:sz w:val="24"/>
                <w:szCs w:val="24"/>
                <w:lang w:val="en"/>
                <w14:textFill>
                  <w14:solidFill>
                    <w14:schemeClr w14:val="tx1"/>
                  </w14:solidFill>
                </w14:textFill>
              </w:rPr>
              <w:t>时间</w:t>
            </w:r>
            <w:r>
              <w:rPr>
                <w:rStyle w:val="8"/>
                <w:rFonts w:hint="eastAsia" w:ascii="仿宋" w:hAnsi="仿宋" w:eastAsia="仿宋"/>
                <w:color w:val="000000" w:themeColor="text1"/>
                <w:sz w:val="24"/>
                <w:szCs w:val="24"/>
                <w:lang w:val="en" w:eastAsia="zh-CN"/>
                <w14:textFill>
                  <w14:solidFill>
                    <w14:schemeClr w14:val="tx1"/>
                  </w14:solidFill>
                </w14:textFill>
              </w:rPr>
              <w:t>）</w:t>
            </w:r>
          </w:p>
        </w:tc>
        <w:tc>
          <w:tcPr>
            <w:tcW w:w="2267" w:type="dxa"/>
          </w:tcPr>
          <w:p>
            <w:pPr>
              <w:pStyle w:val="4"/>
              <w:autoSpaceDE w:val="0"/>
              <w:jc w:val="center"/>
              <w:rPr>
                <w:rStyle w:val="8"/>
                <w:rFonts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报名</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c>
          <w:tcPr>
            <w:tcW w:w="2695" w:type="dxa"/>
          </w:tcPr>
          <w:p>
            <w:pPr>
              <w:pStyle w:val="4"/>
              <w:autoSpaceDE w:val="0"/>
              <w:jc w:val="center"/>
              <w:rPr>
                <w:rStyle w:val="8"/>
                <w:rFonts w:hint="eastAsia" w:ascii="仿宋" w:hAnsi="仿宋" w:eastAsia="仿宋"/>
                <w:color w:val="000000" w:themeColor="text1"/>
                <w:sz w:val="24"/>
                <w:szCs w:val="24"/>
                <w:lang w:val="en"/>
                <w14:textFill>
                  <w14:solidFill>
                    <w14:schemeClr w14:val="tx1"/>
                  </w14:solidFill>
                </w14:textFill>
              </w:rPr>
            </w:pPr>
            <w:r>
              <w:rPr>
                <w:rStyle w:val="8"/>
                <w:rFonts w:hint="eastAsia" w:ascii="仿宋" w:hAnsi="仿宋" w:eastAsia="仿宋"/>
                <w:color w:val="000000" w:themeColor="text1"/>
                <w:sz w:val="24"/>
                <w:szCs w:val="24"/>
                <w:lang w:val="en"/>
                <w14:textFill>
                  <w14:solidFill>
                    <w14:schemeClr w14:val="tx1"/>
                  </w14:solidFill>
                </w14:textFill>
              </w:rPr>
              <w:t>自由报价</w:t>
            </w:r>
            <w:r>
              <w:rPr>
                <w:rStyle w:val="8"/>
                <w:rFonts w:hint="eastAsia" w:ascii="仿宋" w:hAnsi="仿宋" w:eastAsia="仿宋"/>
                <w:color w:val="000000" w:themeColor="text1"/>
                <w:sz w:val="24"/>
                <w:szCs w:val="24"/>
                <w:lang w:val="en-US" w:eastAsia="zh-CN"/>
                <w14:textFill>
                  <w14:solidFill>
                    <w14:schemeClr w14:val="tx1"/>
                  </w14:solidFill>
                </w14:textFill>
              </w:rPr>
              <w:t>结束</w:t>
            </w:r>
            <w:r>
              <w:rPr>
                <w:rStyle w:val="8"/>
                <w:rFonts w:hint="eastAsia" w:ascii="仿宋" w:hAnsi="仿宋" w:eastAsia="仿宋"/>
                <w:color w:val="000000" w:themeColor="text1"/>
                <w:sz w:val="24"/>
                <w:szCs w:val="24"/>
                <w:lang w:val="en"/>
                <w14:textFill>
                  <w14:solidFill>
                    <w14:schemeClr w14:val="tx1"/>
                  </w14:solidFill>
                </w14:textFill>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
                <w14:textFill>
                  <w14:solidFill>
                    <w14:schemeClr w14:val="tx1"/>
                  </w14:solidFill>
                </w14:textFill>
              </w:rPr>
              <w:t>1-</w:t>
            </w:r>
            <w:r>
              <w:rPr>
                <w:rStyle w:val="8"/>
                <w:rFonts w:hint="eastAsia" w:ascii="仿宋" w:hAnsi="仿宋" w:eastAsia="仿宋"/>
                <w:b w:val="0"/>
                <w:color w:val="000000" w:themeColor="text1"/>
                <w:sz w:val="24"/>
                <w:szCs w:val="24"/>
                <w:lang w:val="en-US" w:eastAsia="zh-CN"/>
                <w14:textFill>
                  <w14:solidFill>
                    <w14:schemeClr w14:val="tx1"/>
                  </w14:solidFill>
                </w14:textFill>
              </w:rPr>
              <w:t>10</w:t>
            </w:r>
          </w:p>
        </w:tc>
        <w:tc>
          <w:tcPr>
            <w:tcW w:w="2266"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13</w:t>
            </w:r>
            <w:r>
              <w:rPr>
                <w:rStyle w:val="8"/>
                <w:rFonts w:ascii="仿宋" w:hAnsi="仿宋" w:eastAsia="仿宋"/>
                <w:b w:val="0"/>
                <w:color w:val="000000" w:themeColor="text1"/>
                <w:sz w:val="24"/>
                <w:szCs w:val="24"/>
                <w:lang w:val="en"/>
                <w14:textFill>
                  <w14:solidFill>
                    <w14:schemeClr w14:val="tx1"/>
                  </w14:solidFill>
                </w14:textFill>
              </w:rPr>
              <w:t>日9:30</w:t>
            </w:r>
          </w:p>
        </w:tc>
        <w:tc>
          <w:tcPr>
            <w:tcW w:w="2267" w:type="dxa"/>
            <w:vMerge w:val="restart"/>
            <w:vAlign w:val="center"/>
          </w:tcPr>
          <w:p>
            <w:pPr>
              <w:pStyle w:val="4"/>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日9:30</w:t>
            </w:r>
          </w:p>
        </w:tc>
        <w:tc>
          <w:tcPr>
            <w:tcW w:w="2695" w:type="dxa"/>
            <w:vAlign w:val="top"/>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11-21</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1291" w:type="dxa"/>
          </w:tcPr>
          <w:p>
            <w:pPr>
              <w:pStyle w:val="4"/>
              <w:autoSpaceDE w:val="0"/>
              <w:jc w:val="center"/>
              <w:rPr>
                <w:rStyle w:val="8"/>
                <w:rFonts w:hint="default" w:ascii="仿宋" w:hAnsi="仿宋" w:eastAsia="仿宋"/>
                <w:b w:val="0"/>
                <w:color w:val="000000" w:themeColor="text1"/>
                <w:sz w:val="24"/>
                <w:szCs w:val="24"/>
                <w:lang w:val="en-US" w:eastAsia="zh-CN"/>
                <w14:textFill>
                  <w14:solidFill>
                    <w14:schemeClr w14:val="tx1"/>
                  </w14:solidFill>
                </w14:textFill>
              </w:rPr>
            </w:pPr>
            <w:r>
              <w:rPr>
                <w:rStyle w:val="8"/>
                <w:rFonts w:hint="eastAsia" w:ascii="仿宋" w:hAnsi="仿宋" w:eastAsia="仿宋"/>
                <w:b w:val="0"/>
                <w:color w:val="000000" w:themeColor="text1"/>
                <w:sz w:val="24"/>
                <w:szCs w:val="24"/>
                <w:lang w:val="en-US" w:eastAsia="zh-CN"/>
                <w14:textFill>
                  <w14:solidFill>
                    <w14:schemeClr w14:val="tx1"/>
                  </w14:solidFill>
                </w14:textFill>
              </w:rPr>
              <w:t>22-32</w:t>
            </w:r>
          </w:p>
        </w:tc>
        <w:tc>
          <w:tcPr>
            <w:tcW w:w="2266"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267" w:type="dxa"/>
            <w:vMerge w:val="continue"/>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p>
        </w:tc>
        <w:tc>
          <w:tcPr>
            <w:tcW w:w="2695" w:type="dxa"/>
            <w:vAlign w:val="top"/>
          </w:tcPr>
          <w:p>
            <w:pPr>
              <w:autoSpaceDE w:val="0"/>
              <w:jc w:val="center"/>
              <w:rPr>
                <w:rStyle w:val="8"/>
                <w:rFonts w:ascii="仿宋" w:hAnsi="仿宋" w:eastAsia="仿宋"/>
                <w:b w:val="0"/>
                <w:color w:val="000000" w:themeColor="text1"/>
                <w:sz w:val="24"/>
                <w:szCs w:val="24"/>
                <w:lang w:val="en"/>
                <w14:textFill>
                  <w14:solidFill>
                    <w14:schemeClr w14:val="tx1"/>
                  </w14:solidFill>
                </w14:textFill>
              </w:rPr>
            </w:pPr>
            <w:r>
              <w:rPr>
                <w:rStyle w:val="8"/>
                <w:rFonts w:ascii="仿宋" w:hAnsi="仿宋" w:eastAsia="仿宋"/>
                <w:b w:val="0"/>
                <w:color w:val="000000" w:themeColor="text1"/>
                <w:sz w:val="24"/>
                <w:szCs w:val="24"/>
                <w:lang w:val="en"/>
                <w14:textFill>
                  <w14:solidFill>
                    <w14:schemeClr w14:val="tx1"/>
                  </w14:solidFill>
                </w14:textFill>
              </w:rPr>
              <w:t>202</w:t>
            </w:r>
            <w:r>
              <w:rPr>
                <w:rStyle w:val="8"/>
                <w:rFonts w:hint="eastAsia" w:ascii="仿宋" w:hAnsi="仿宋" w:eastAsia="仿宋"/>
                <w:b w:val="0"/>
                <w:color w:val="000000" w:themeColor="text1"/>
                <w:sz w:val="24"/>
                <w:szCs w:val="24"/>
                <w:lang w:val="en-US" w:eastAsia="zh-CN"/>
                <w14:textFill>
                  <w14:solidFill>
                    <w14:schemeClr w14:val="tx1"/>
                  </w14:solidFill>
                </w14:textFill>
              </w:rPr>
              <w:t>5</w:t>
            </w:r>
            <w:r>
              <w:rPr>
                <w:rStyle w:val="8"/>
                <w:rFonts w:ascii="仿宋" w:hAnsi="仿宋" w:eastAsia="仿宋"/>
                <w:b w:val="0"/>
                <w:color w:val="000000" w:themeColor="text1"/>
                <w:sz w:val="24"/>
                <w:szCs w:val="24"/>
                <w:lang w:val="en"/>
                <w14:textFill>
                  <w14:solidFill>
                    <w14:schemeClr w14:val="tx1"/>
                  </w14:solidFill>
                </w14:textFill>
              </w:rPr>
              <w:t>年</w:t>
            </w:r>
            <w:r>
              <w:rPr>
                <w:rStyle w:val="8"/>
                <w:rFonts w:hint="eastAsia" w:ascii="仿宋" w:hAnsi="仿宋" w:eastAsia="仿宋"/>
                <w:b w:val="0"/>
                <w:color w:val="000000" w:themeColor="text1"/>
                <w:sz w:val="24"/>
                <w:szCs w:val="24"/>
                <w:lang w:val="en-US" w:eastAsia="zh-CN"/>
                <w14:textFill>
                  <w14:solidFill>
                    <w14:schemeClr w14:val="tx1"/>
                  </w14:solidFill>
                </w14:textFill>
              </w:rPr>
              <w:t>1</w:t>
            </w:r>
            <w:r>
              <w:rPr>
                <w:rStyle w:val="8"/>
                <w:rFonts w:ascii="仿宋" w:hAnsi="仿宋" w:eastAsia="仿宋"/>
                <w:b w:val="0"/>
                <w:color w:val="000000" w:themeColor="text1"/>
                <w:sz w:val="24"/>
                <w:szCs w:val="24"/>
                <w:lang w:val="en"/>
                <w14:textFill>
                  <w14:solidFill>
                    <w14:schemeClr w14:val="tx1"/>
                  </w14:solidFill>
                </w14:textFill>
              </w:rPr>
              <w:t>月</w:t>
            </w:r>
            <w:r>
              <w:rPr>
                <w:rStyle w:val="8"/>
                <w:rFonts w:hint="eastAsia" w:ascii="仿宋" w:hAnsi="仿宋" w:eastAsia="仿宋"/>
                <w:b w:val="0"/>
                <w:color w:val="000000" w:themeColor="text1"/>
                <w:sz w:val="24"/>
                <w:szCs w:val="24"/>
                <w:lang w:val="en-US" w:eastAsia="zh-CN"/>
                <w14:textFill>
                  <w14:solidFill>
                    <w14:schemeClr w14:val="tx1"/>
                  </w14:solidFill>
                </w14:textFill>
              </w:rPr>
              <w:t>26</w:t>
            </w:r>
            <w:r>
              <w:rPr>
                <w:rStyle w:val="8"/>
                <w:rFonts w:ascii="仿宋" w:hAnsi="仿宋" w:eastAsia="仿宋"/>
                <w:b w:val="0"/>
                <w:color w:val="000000" w:themeColor="text1"/>
                <w:sz w:val="24"/>
                <w:szCs w:val="24"/>
                <w:lang w:val="en"/>
                <w14:textFill>
                  <w14:solidFill>
                    <w14:schemeClr w14:val="tx1"/>
                  </w14:solidFill>
                </w14:textFill>
              </w:rPr>
              <w:t>日</w:t>
            </w:r>
            <w:r>
              <w:rPr>
                <w:rStyle w:val="8"/>
                <w:rFonts w:hint="eastAsia" w:ascii="仿宋" w:hAnsi="仿宋" w:eastAsia="仿宋"/>
                <w:b/>
                <w:bCs w:val="0"/>
                <w:color w:val="000000" w:themeColor="text1"/>
                <w:sz w:val="24"/>
                <w:szCs w:val="24"/>
                <w:lang w:val="en-US" w:eastAsia="zh-CN"/>
                <w14:textFill>
                  <w14:solidFill>
                    <w14:schemeClr w14:val="tx1"/>
                  </w14:solidFill>
                </w14:textFill>
              </w:rPr>
              <w:t>16:00</w:t>
            </w:r>
          </w:p>
        </w:tc>
      </w:tr>
    </w:tbl>
    <w:p>
      <w:pPr>
        <w:spacing w:line="560" w:lineRule="exact"/>
        <w:rPr>
          <w:rFonts w:hint="eastAsia" w:ascii="仿宋" w:hAnsi="仿宋" w:eastAsia="仿宋" w:cs="仿宋"/>
          <w:bCs/>
          <w:color w:val="000000" w:themeColor="text1"/>
          <w:sz w:val="32"/>
          <w:szCs w:val="32"/>
          <w:lang w:eastAsia="zh-CN"/>
          <w14:textFill>
            <w14:solidFill>
              <w14:schemeClr w14:val="tx1"/>
            </w14:solidFill>
          </w14:textFill>
        </w:rPr>
      </w:pPr>
    </w:p>
    <w:p>
      <w:pPr>
        <w:spacing w:line="560" w:lineRule="exact"/>
        <w:ind w:firstLine="640" w:firstLineChars="200"/>
        <w:rPr>
          <w:rFonts w:hint="eastAsia" w:ascii="仿宋" w:hAnsi="仿宋" w:eastAsia="仿宋" w:cs="仿宋"/>
          <w:bCs/>
          <w:color w:val="000000" w:themeColor="text1"/>
          <w:kern w:val="2"/>
          <w:sz w:val="32"/>
          <w:szCs w:val="32"/>
          <w:lang w:val="en" w:eastAsia="zh-CN" w:bidi="ar-SA"/>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限时竞价时间：自由报价结束即转入限时竞价，竞价人须在自由报价期经过一次有效报价方有资格参与，建议竞价人至少提前10分钟登录系统准备，限时报价期为5分钟</w:t>
      </w:r>
      <w:r>
        <w:rPr>
          <w:rFonts w:hint="eastAsia" w:ascii="仿宋" w:hAnsi="仿宋" w:eastAsia="仿宋" w:cs="仿宋"/>
          <w:bCs/>
          <w:color w:val="000000" w:themeColor="text1"/>
          <w:kern w:val="2"/>
          <w:sz w:val="32"/>
          <w:szCs w:val="32"/>
          <w:lang w:val="en" w:eastAsia="zh-CN" w:bidi="ar-SA"/>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
          <w:bCs/>
          <w:sz w:val="32"/>
          <w:szCs w:val="32"/>
        </w:rPr>
      </w:pPr>
      <w:r>
        <w:rPr>
          <w:rFonts w:hint="eastAsia" w:ascii="仿宋" w:hAnsi="仿宋" w:eastAsia="仿宋" w:cs="仿宋"/>
          <w:bCs/>
          <w:color w:val="000000" w:themeColor="text1"/>
          <w:kern w:val="0"/>
          <w:sz w:val="32"/>
          <w:szCs w:val="32"/>
          <w:lang w:val="en-US" w:eastAsia="zh-CN" w:bidi="ar-SA"/>
          <w14:textFill>
            <w14:solidFill>
              <w14:schemeClr w14:val="tx1"/>
            </w14:solidFill>
          </w14:textFill>
        </w:rPr>
        <w:t>三、保证金以交易系统到账为准(ATM转账24小时后方可到账)，请适当提前以确保</w:t>
      </w:r>
      <w:r>
        <w:rPr>
          <w:rFonts w:hint="eastAsia" w:ascii="仿宋" w:hAnsi="仿宋" w:eastAsia="仿宋" w:cs="仿宋"/>
          <w:bCs/>
          <w:sz w:val="32"/>
          <w:szCs w:val="32"/>
        </w:rPr>
        <w:t>资金在到账截止时间前到账。</w:t>
      </w:r>
      <w:r>
        <w:rPr>
          <w:rFonts w:hint="eastAsia" w:ascii="仿宋" w:hAnsi="仿宋" w:eastAsia="仿宋" w:cs="仿宋"/>
          <w:b/>
          <w:bCs/>
          <w:color w:val="FF0000"/>
          <w:sz w:val="32"/>
          <w:szCs w:val="32"/>
        </w:rPr>
        <w:t>(特别提示：目前竞价保证金账户银行无法支持第三方支付平台原路退还竞价保证金，请勿使用微信、支付宝等第三方支付平台及柜台现金缴入方式缴付竞价保证金。)</w:t>
      </w:r>
      <w:r>
        <w:rPr>
          <w:rFonts w:hint="eastAsia" w:ascii="仿宋" w:hAnsi="仿宋" w:eastAsia="仿宋" w:cs="仿宋"/>
          <w:bCs/>
          <w:sz w:val="32"/>
          <w:szCs w:val="32"/>
        </w:rPr>
        <w:t>竞价保证金不抵作货款，事后按原路无息退回到竞价人账户。</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sz w:val="32"/>
          <w:szCs w:val="32"/>
          <w:lang w:val="en-US" w:eastAsia="zh-CN"/>
        </w:rPr>
      </w:pPr>
      <w:r>
        <w:rPr>
          <w:rFonts w:hint="eastAsia" w:ascii="仿宋" w:hAnsi="仿宋" w:eastAsia="仿宋" w:cs="仿宋"/>
          <w:bCs/>
          <w:sz w:val="32"/>
          <w:szCs w:val="32"/>
        </w:rPr>
        <w:t>四、首次挂牌到期未成交的，</w:t>
      </w:r>
      <w:r>
        <w:rPr>
          <w:rStyle w:val="8"/>
          <w:rFonts w:hint="eastAsia" w:ascii="仿宋" w:hAnsi="仿宋" w:eastAsia="仿宋" w:cs="Times New Roman"/>
          <w:b w:val="0"/>
          <w:bCs/>
          <w:color w:val="000000"/>
          <w:sz w:val="30"/>
          <w:szCs w:val="30"/>
          <w:lang w:val="en"/>
        </w:rPr>
        <w:t>按5个工作日为1个周期自动</w:t>
      </w:r>
      <w:r>
        <w:rPr>
          <w:rFonts w:hint="eastAsia" w:ascii="仿宋" w:hAnsi="仿宋" w:eastAsia="仿宋"/>
          <w:sz w:val="32"/>
          <w:szCs w:val="32"/>
        </w:rPr>
        <w:t>延期挂牌</w:t>
      </w:r>
      <w:r>
        <w:rPr>
          <w:rFonts w:hint="eastAsia" w:ascii="仿宋" w:hAnsi="仿宋" w:eastAsia="仿宋"/>
          <w:sz w:val="32"/>
          <w:szCs w:val="32"/>
          <w:lang w:eastAsia="zh-CN"/>
        </w:rPr>
        <w:t>，延期挂牌截止日期详见</w:t>
      </w:r>
      <w:r>
        <w:rPr>
          <w:rFonts w:hint="eastAsia" w:ascii="仿宋" w:hAnsi="仿宋" w:eastAsia="仿宋" w:cs="仿宋"/>
          <w:bCs/>
          <w:color w:val="000000" w:themeColor="text1"/>
          <w:sz w:val="32"/>
          <w:szCs w:val="32"/>
          <w14:textFill>
            <w14:solidFill>
              <w14:schemeClr w14:val="tx1"/>
            </w14:solidFill>
          </w14:textFill>
        </w:rPr>
        <w:t>《龙门县国有资产事务中心第</w:t>
      </w:r>
      <w:r>
        <w:rPr>
          <w:rFonts w:hint="eastAsia" w:ascii="仿宋" w:hAnsi="仿宋" w:eastAsia="仿宋" w:cs="仿宋"/>
          <w:bCs/>
          <w:color w:val="000000" w:themeColor="text1"/>
          <w:sz w:val="32"/>
          <w:szCs w:val="32"/>
          <w:lang w:val="en-US" w:eastAsia="zh-CN"/>
          <w14:textFill>
            <w14:solidFill>
              <w14:schemeClr w14:val="tx1"/>
            </w14:solidFill>
          </w14:textFill>
        </w:rPr>
        <w:t>二</w:t>
      </w:r>
      <w:r>
        <w:rPr>
          <w:rFonts w:hint="eastAsia" w:ascii="仿宋" w:hAnsi="仿宋" w:eastAsia="仿宋" w:cs="仿宋"/>
          <w:bCs/>
          <w:color w:val="000000" w:themeColor="text1"/>
          <w:sz w:val="32"/>
          <w:szCs w:val="32"/>
          <w14:textFill>
            <w14:solidFill>
              <w14:schemeClr w14:val="tx1"/>
            </w14:solidFill>
          </w14:textFill>
        </w:rPr>
        <w:t>次物业公开招租一览表》</w:t>
      </w:r>
      <w:r>
        <w:rPr>
          <w:rFonts w:hint="eastAsia" w:ascii="仿宋" w:hAnsi="仿宋" w:eastAsia="仿宋" w:cs="仿宋"/>
          <w:bCs/>
          <w:color w:val="000000" w:themeColor="text1"/>
          <w:sz w:val="32"/>
          <w:szCs w:val="32"/>
          <w:lang w:eastAsia="zh-CN"/>
          <w14:textFill>
            <w14:solidFill>
              <w14:schemeClr w14:val="tx1"/>
            </w14:solidFill>
          </w14:textFill>
        </w:rPr>
        <w:t>。</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五、成交候选人有下列行为之一的，视为违约，取消成交资格，竞价保证金不予退还,并由有关部门依法处理;造成损失的，成交候选人还应依法承担赔偿责任：</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（一）不符合竞价资格条件的；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（二）逾期或拒绝办理成交手续的；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（三）逾期或拒绝签订产权交易成交合同的；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（四）不按交易条件规定提供有关纸质文件材料，或提供虚假文件材料、隐瞒重要事实的；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（五）采取行贿、恶意串通等非法手段竞得的；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（六）以其他非法手段竞得的；</w:t>
      </w:r>
    </w:p>
    <w:p>
      <w:pPr>
        <w:spacing w:line="560" w:lineRule="exact"/>
        <w:ind w:firstLine="640" w:firstLineChars="200"/>
        <w:rPr>
          <w:rFonts w:hint="eastAsia" w:ascii="仿宋" w:hAnsi="仿宋" w:eastAsia="仿宋" w:cs="仿宋"/>
          <w:bCs/>
          <w:sz w:val="32"/>
          <w:szCs w:val="32"/>
        </w:rPr>
      </w:pPr>
      <w:r>
        <w:rPr>
          <w:rFonts w:hint="eastAsia" w:ascii="仿宋" w:hAnsi="仿宋" w:eastAsia="仿宋" w:cs="仿宋"/>
          <w:bCs/>
          <w:sz w:val="32"/>
          <w:szCs w:val="32"/>
        </w:rPr>
        <w:t>（七）构成违约责任的其他行为。</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六、竞价人应对标的物进行充分了解，可在指定时间内看样，未看样的竞价人视为对转让标的现状无异议。本中心为交易平台，只对交易法定程序负责，不承担其他任何法律责任。</w:t>
      </w:r>
    </w:p>
    <w:p>
      <w:pPr>
        <w:spacing w:line="560" w:lineRule="exact"/>
        <w:ind w:firstLine="640" w:firstLineChars="200"/>
        <w:rPr>
          <w:rFonts w:ascii="仿宋" w:hAnsi="仿宋" w:eastAsia="仿宋" w:cs="仿宋"/>
          <w:bCs/>
          <w:sz w:val="32"/>
          <w:szCs w:val="32"/>
        </w:rPr>
      </w:pPr>
      <w:r>
        <w:rPr>
          <w:rFonts w:hint="eastAsia" w:ascii="仿宋" w:hAnsi="仿宋" w:eastAsia="仿宋" w:cs="仿宋"/>
          <w:bCs/>
          <w:sz w:val="32"/>
          <w:szCs w:val="32"/>
        </w:rPr>
        <w:t>七、因不可抗力、软硬件故障、非法入侵、恶意攻击等原因导致网上竞价活动异常的，交易中心有权中止、终结或重新组织竞价活动，同时不承担任何责任。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Cs/>
          <w:sz w:val="32"/>
          <w:szCs w:val="32"/>
        </w:rPr>
      </w:pPr>
      <w:r>
        <w:rPr>
          <w:rFonts w:hint="eastAsia" w:ascii="仿宋" w:hAnsi="仿宋" w:eastAsia="仿宋" w:cs="仿宋"/>
          <w:bCs/>
          <w:sz w:val="32"/>
          <w:szCs w:val="32"/>
        </w:rPr>
        <w:t>八、本公告项目详情可通过以下3种方式详查：方式一，登录“惠州市公共资源交易中心产权交易竞价电子交易系统（直接登录交易系统查看，仍然是目前关注、查看惠州市直及各县区分中心产权挂牌标的最好最便捷的方式；首次登录产权竞价系统的，请通过方式二进入系统界面，收藏、保存系统域名网址，方便以后可更简便、更快捷关注、查看惠州市直及各分中心发布的挂牌标的）→交易大厅（或正在交易）→龙门分中心→查看相关标的”。方式二，登录“惠州市公共资源交易中心网站(http://zyjy.huizhou.gov.cn)→全国公共资源交易平台（广东省）广东省公共资源交易平台→交易系统→服务系统→惠州市产权交易竞价电子交易系统→交易大厅（或正在交易）→龙门分中心→查看相关标的”。方式三，登录“惠州市公共资源交易中心网站(http://zyjy.huizhou.gov.cn)→全国公共资源交易平台（广东省）广东省公共资源交易平台→惠州市产权交易竞价电子交易系统→账号密码注册→登录→交易大厅（或正在交易）→龙门分中心→查看相关标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bCs/>
          <w:sz w:val="32"/>
          <w:szCs w:val="32"/>
        </w:rPr>
      </w:pPr>
      <w:r>
        <w:rPr>
          <w:rFonts w:hint="eastAsia" w:ascii="仿宋" w:hAnsi="仿宋" w:eastAsia="仿宋" w:cs="仿宋"/>
          <w:bCs/>
          <w:sz w:val="32"/>
          <w:szCs w:val="32"/>
        </w:rPr>
        <w:t>系统操作指南详见“惠州市公共资源交易中心网站(http://zyjy.huizhou.gov.cn)→服务指南→操作指引→产权交易→产权交易网上竞价系统操作指引”。</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sz w:val="32"/>
          <w:szCs w:val="32"/>
          <w:lang w:val="en"/>
        </w:rPr>
        <w:t xml:space="preserve">    </w:t>
      </w:r>
      <w:r>
        <w:rPr>
          <w:rFonts w:ascii="仿宋" w:hAnsi="仿宋" w:eastAsia="仿宋" w:cs="仿宋"/>
          <w:bCs/>
          <w:kern w:val="2"/>
          <w:sz w:val="32"/>
          <w:szCs w:val="32"/>
        </w:rPr>
        <w:t>九、联系方式</w:t>
      </w:r>
      <w:r>
        <w:rPr>
          <w:rFonts w:hint="eastAsia" w:ascii="仿宋" w:hAnsi="仿宋" w:eastAsia="仿宋" w:cs="仿宋"/>
          <w:bCs/>
          <w:kern w:val="2"/>
          <w:sz w:val="32"/>
          <w:szCs w:val="32"/>
        </w:rPr>
        <w:t>(正常工作日：8：30-12：00，14：00-17：30)</w:t>
      </w:r>
      <w:r>
        <w:rPr>
          <w:rFonts w:ascii="仿宋" w:hAnsi="仿宋" w:eastAsia="仿宋" w:cs="仿宋"/>
          <w:bCs/>
          <w:kern w:val="2"/>
          <w:sz w:val="32"/>
          <w:szCs w:val="32"/>
        </w:rPr>
        <w:t>：</w:t>
      </w:r>
    </w:p>
    <w:p>
      <w:pPr>
        <w:pStyle w:val="4"/>
        <w:keepNext w:val="0"/>
        <w:keepLines w:val="0"/>
        <w:pageBreakBefore w:val="0"/>
        <w:shd w:val="clear" w:color="auto" w:fill="FFFFFF"/>
        <w:kinsoku/>
        <w:wordWrap/>
        <w:overflowPunct/>
        <w:topLinePunct w:val="0"/>
        <w:autoSpaceDE w:val="0"/>
        <w:autoSpaceDN/>
        <w:bidi w:val="0"/>
        <w:adjustRightInd/>
        <w:snapToGrid/>
        <w:spacing w:line="560" w:lineRule="exact"/>
        <w:ind w:firstLine="646"/>
        <w:textAlignment w:val="auto"/>
        <w:rPr>
          <w:rFonts w:hint="eastAsia" w:ascii="仿宋" w:hAnsi="仿宋" w:eastAsia="仿宋" w:cs="仿宋"/>
          <w:bCs/>
          <w:kern w:val="2"/>
          <w:sz w:val="32"/>
          <w:szCs w:val="32"/>
          <w:lang w:val="en-US" w:eastAsia="zh-CN"/>
        </w:rPr>
      </w:pPr>
      <w:r>
        <w:rPr>
          <w:rFonts w:ascii="仿宋" w:hAnsi="仿宋" w:eastAsia="仿宋" w:cs="仿宋"/>
          <w:bCs/>
          <w:kern w:val="2"/>
          <w:sz w:val="32"/>
          <w:szCs w:val="32"/>
        </w:rPr>
        <w:t>1、</w:t>
      </w:r>
      <w:r>
        <w:rPr>
          <w:rFonts w:hint="eastAsia" w:ascii="仿宋" w:hAnsi="仿宋" w:eastAsia="仿宋" w:cs="仿宋"/>
          <w:bCs/>
          <w:kern w:val="2"/>
          <w:sz w:val="32"/>
          <w:szCs w:val="32"/>
          <w:lang w:val="en-US" w:eastAsia="zh-CN"/>
        </w:rPr>
        <w:t>业主方：联系方式详见《龙门县国有资产事务中心第二次物业公开招租一览表》</w:t>
      </w:r>
    </w:p>
    <w:p>
      <w:pPr>
        <w:pStyle w:val="4"/>
        <w:shd w:val="clear" w:color="auto" w:fill="FFFFFF"/>
        <w:spacing w:line="500" w:lineRule="exact"/>
        <w:rPr>
          <w:rFonts w:ascii="仿宋" w:hAnsi="仿宋" w:eastAsia="仿宋" w:cs="仿宋"/>
          <w:bCs/>
          <w:kern w:val="2"/>
          <w:sz w:val="32"/>
          <w:szCs w:val="32"/>
        </w:rPr>
      </w:pPr>
      <w:r>
        <w:rPr>
          <w:rFonts w:hint="eastAsia" w:ascii="仿宋" w:hAnsi="仿宋" w:eastAsia="仿宋" w:cs="仿宋"/>
          <w:bCs/>
          <w:kern w:val="2"/>
          <w:sz w:val="32"/>
          <w:szCs w:val="32"/>
        </w:rPr>
        <w:t xml:space="preserve">    </w:t>
      </w:r>
      <w:r>
        <w:rPr>
          <w:rFonts w:ascii="仿宋" w:hAnsi="仿宋" w:eastAsia="仿宋" w:cs="仿宋"/>
          <w:bCs/>
          <w:kern w:val="2"/>
          <w:sz w:val="32"/>
          <w:szCs w:val="32"/>
        </w:rPr>
        <w:t>2、惠州市公共资源交易中心龙门分中心产权交易部</w:t>
      </w:r>
    </w:p>
    <w:p>
      <w:pPr>
        <w:pStyle w:val="4"/>
        <w:shd w:val="clear" w:color="auto" w:fill="FFFFFF"/>
        <w:spacing w:line="500" w:lineRule="exact"/>
        <w:ind w:firstLine="420"/>
        <w:rPr>
          <w:rFonts w:ascii="仿宋" w:hAnsi="仿宋" w:eastAsia="仿宋" w:cs="仿宋"/>
          <w:bCs/>
          <w:kern w:val="2"/>
          <w:sz w:val="32"/>
          <w:szCs w:val="32"/>
        </w:rPr>
      </w:pPr>
      <w:r>
        <w:rPr>
          <w:rFonts w:ascii="仿宋" w:hAnsi="仿宋" w:eastAsia="仿宋" w:cs="仿宋"/>
          <w:bCs/>
          <w:kern w:val="2"/>
          <w:sz w:val="32"/>
          <w:szCs w:val="32"/>
        </w:rPr>
        <w:t>地址：龙门县龙城街道体育西路城投大厦二楼</w:t>
      </w:r>
      <w:r>
        <w:rPr>
          <w:rFonts w:hint="eastAsia" w:ascii="仿宋" w:hAnsi="仿宋" w:eastAsia="仿宋" w:cs="仿宋"/>
          <w:bCs/>
          <w:kern w:val="2"/>
          <w:sz w:val="32"/>
          <w:szCs w:val="32"/>
        </w:rPr>
        <w:t xml:space="preserve">  </w:t>
      </w:r>
    </w:p>
    <w:p>
      <w:pPr>
        <w:pStyle w:val="4"/>
        <w:shd w:val="clear" w:color="auto" w:fill="FFFFFF"/>
        <w:spacing w:line="500" w:lineRule="exact"/>
        <w:ind w:firstLine="420"/>
        <w:rPr>
          <w:rFonts w:ascii="仿宋" w:hAnsi="仿宋" w:eastAsia="仿宋"/>
          <w:sz w:val="32"/>
          <w:szCs w:val="32"/>
          <w:lang w:val="en"/>
        </w:rPr>
      </w:pPr>
      <w:r>
        <w:rPr>
          <w:rFonts w:ascii="仿宋" w:hAnsi="仿宋" w:eastAsia="仿宋" w:cs="仿宋"/>
          <w:bCs/>
          <w:kern w:val="2"/>
          <w:sz w:val="32"/>
          <w:szCs w:val="32"/>
        </w:rPr>
        <w:t>联系人：陈</w:t>
      </w:r>
      <w:r>
        <w:rPr>
          <w:rFonts w:hint="eastAsia" w:ascii="仿宋" w:hAnsi="仿宋" w:eastAsia="仿宋" w:cs="仿宋"/>
          <w:bCs/>
          <w:kern w:val="2"/>
          <w:sz w:val="32"/>
          <w:szCs w:val="32"/>
          <w:lang w:eastAsia="zh-CN"/>
        </w:rPr>
        <w:t>女士</w:t>
      </w:r>
      <w:r>
        <w:rPr>
          <w:rFonts w:ascii="仿宋" w:hAnsi="仿宋" w:eastAsia="仿宋" w:cs="仿宋"/>
          <w:bCs/>
          <w:kern w:val="2"/>
          <w:sz w:val="32"/>
          <w:szCs w:val="32"/>
        </w:rPr>
        <w:t>0752</w:t>
      </w:r>
      <w:r>
        <w:rPr>
          <w:rFonts w:hint="eastAsia" w:ascii="仿宋" w:hAnsi="仿宋" w:eastAsia="仿宋" w:cs="仿宋"/>
          <w:bCs/>
          <w:kern w:val="2"/>
          <w:sz w:val="32"/>
          <w:szCs w:val="32"/>
        </w:rPr>
        <w:t>-</w:t>
      </w:r>
      <w:r>
        <w:rPr>
          <w:rFonts w:ascii="仿宋" w:hAnsi="仿宋" w:eastAsia="仿宋" w:cs="仿宋"/>
          <w:bCs/>
          <w:kern w:val="2"/>
          <w:sz w:val="32"/>
          <w:szCs w:val="32"/>
        </w:rPr>
        <w:t>7988080</w:t>
      </w: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rPr>
          <w:rFonts w:ascii="仿宋" w:hAnsi="仿宋" w:eastAsia="仿宋"/>
          <w:sz w:val="32"/>
          <w:szCs w:val="32"/>
          <w:lang w:val="en"/>
        </w:rPr>
      </w:pP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惠州市公共资源交易中心龙门分中心</w:t>
      </w:r>
    </w:p>
    <w:p>
      <w:pPr>
        <w:pStyle w:val="4"/>
        <w:shd w:val="clear" w:color="auto" w:fill="FFFFFF"/>
        <w:spacing w:line="500" w:lineRule="exact"/>
        <w:jc w:val="right"/>
        <w:rPr>
          <w:rFonts w:ascii="仿宋" w:hAnsi="仿宋" w:eastAsia="仿宋" w:cs="仿宋"/>
          <w:bCs/>
          <w:kern w:val="2"/>
          <w:sz w:val="32"/>
          <w:szCs w:val="32"/>
        </w:rPr>
      </w:pPr>
      <w:r>
        <w:rPr>
          <w:rFonts w:ascii="仿宋" w:hAnsi="仿宋" w:eastAsia="仿宋" w:cs="仿宋"/>
          <w:bCs/>
          <w:kern w:val="2"/>
          <w:sz w:val="32"/>
          <w:szCs w:val="32"/>
        </w:rPr>
        <w:t>202</w:t>
      </w:r>
      <w:r>
        <w:rPr>
          <w:rFonts w:hint="eastAsia" w:ascii="仿宋" w:hAnsi="仿宋" w:eastAsia="仿宋" w:cs="仿宋"/>
          <w:bCs/>
          <w:kern w:val="2"/>
          <w:sz w:val="32"/>
          <w:szCs w:val="32"/>
          <w:lang w:val="en-US" w:eastAsia="zh-CN"/>
        </w:rPr>
        <w:t>5</w:t>
      </w:r>
      <w:r>
        <w:rPr>
          <w:rFonts w:ascii="仿宋" w:hAnsi="仿宋" w:eastAsia="仿宋" w:cs="仿宋"/>
          <w:bCs/>
          <w:kern w:val="2"/>
          <w:sz w:val="32"/>
          <w:szCs w:val="32"/>
        </w:rPr>
        <w:t>年</w:t>
      </w:r>
      <w:r>
        <w:rPr>
          <w:rFonts w:hint="eastAsia" w:ascii="仿宋" w:hAnsi="仿宋" w:eastAsia="仿宋" w:cs="仿宋"/>
          <w:bCs/>
          <w:kern w:val="2"/>
          <w:sz w:val="32"/>
          <w:szCs w:val="32"/>
          <w:lang w:val="en-US" w:eastAsia="zh-CN"/>
        </w:rPr>
        <w:t>1</w:t>
      </w:r>
      <w:r>
        <w:rPr>
          <w:rFonts w:hint="eastAsia" w:ascii="仿宋" w:hAnsi="仿宋" w:eastAsia="仿宋" w:cs="仿宋"/>
          <w:bCs/>
          <w:kern w:val="2"/>
          <w:sz w:val="32"/>
          <w:szCs w:val="32"/>
        </w:rPr>
        <w:t>月</w:t>
      </w:r>
      <w:r>
        <w:rPr>
          <w:rFonts w:hint="eastAsia" w:ascii="仿宋" w:hAnsi="仿宋" w:eastAsia="仿宋" w:cs="仿宋"/>
          <w:bCs/>
          <w:kern w:val="2"/>
          <w:sz w:val="32"/>
          <w:szCs w:val="32"/>
          <w:lang w:val="en-US" w:eastAsia="zh-CN"/>
        </w:rPr>
        <w:t>13</w:t>
      </w:r>
      <w:r>
        <w:rPr>
          <w:rFonts w:hint="eastAsia" w:ascii="仿宋" w:hAnsi="仿宋" w:eastAsia="仿宋" w:cs="仿宋"/>
          <w:bCs/>
          <w:kern w:val="2"/>
          <w:sz w:val="32"/>
          <w:szCs w:val="32"/>
        </w:rPr>
        <w:t>日</w:t>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xYjkwODIyNzlkZDhjOTI3M2IyYmI2MTQ1NjJhNzQifQ=="/>
    <w:docVar w:name="KSO_WPS_MARK_KEY" w:val="ae50ffbc-9a32-4bf1-9839-16fcd65dcbcc"/>
  </w:docVars>
  <w:rsids>
    <w:rsidRoot w:val="00B947E8"/>
    <w:rsid w:val="00050437"/>
    <w:rsid w:val="00050F35"/>
    <w:rsid w:val="000C0DFC"/>
    <w:rsid w:val="001578F8"/>
    <w:rsid w:val="00164175"/>
    <w:rsid w:val="001A2227"/>
    <w:rsid w:val="00264466"/>
    <w:rsid w:val="002B5808"/>
    <w:rsid w:val="002C6527"/>
    <w:rsid w:val="00321934"/>
    <w:rsid w:val="003331FA"/>
    <w:rsid w:val="00381270"/>
    <w:rsid w:val="00390035"/>
    <w:rsid w:val="003A2F81"/>
    <w:rsid w:val="003A3CD3"/>
    <w:rsid w:val="003B2A1A"/>
    <w:rsid w:val="003C6AEF"/>
    <w:rsid w:val="004477C6"/>
    <w:rsid w:val="00450CEC"/>
    <w:rsid w:val="0045758B"/>
    <w:rsid w:val="00462C2E"/>
    <w:rsid w:val="004A2032"/>
    <w:rsid w:val="004C7532"/>
    <w:rsid w:val="004F7B07"/>
    <w:rsid w:val="00532D1D"/>
    <w:rsid w:val="005524AD"/>
    <w:rsid w:val="005A5C02"/>
    <w:rsid w:val="005B2479"/>
    <w:rsid w:val="0061609A"/>
    <w:rsid w:val="00655587"/>
    <w:rsid w:val="006B51AE"/>
    <w:rsid w:val="006B7ABF"/>
    <w:rsid w:val="007B2201"/>
    <w:rsid w:val="007E4EF4"/>
    <w:rsid w:val="007F010B"/>
    <w:rsid w:val="008C03A9"/>
    <w:rsid w:val="00904954"/>
    <w:rsid w:val="009521A6"/>
    <w:rsid w:val="00970539"/>
    <w:rsid w:val="00996625"/>
    <w:rsid w:val="009E3214"/>
    <w:rsid w:val="00A1574D"/>
    <w:rsid w:val="00A43702"/>
    <w:rsid w:val="00A7216A"/>
    <w:rsid w:val="00A763D4"/>
    <w:rsid w:val="00A8679F"/>
    <w:rsid w:val="00AB39DD"/>
    <w:rsid w:val="00AE1F81"/>
    <w:rsid w:val="00B01828"/>
    <w:rsid w:val="00B70F0F"/>
    <w:rsid w:val="00B712C5"/>
    <w:rsid w:val="00B74CC7"/>
    <w:rsid w:val="00B947E8"/>
    <w:rsid w:val="00BA13F3"/>
    <w:rsid w:val="00BB46E0"/>
    <w:rsid w:val="00BD3A8C"/>
    <w:rsid w:val="00BF6B20"/>
    <w:rsid w:val="00C2229C"/>
    <w:rsid w:val="00C30DA2"/>
    <w:rsid w:val="00C505A2"/>
    <w:rsid w:val="00D178C9"/>
    <w:rsid w:val="00D21882"/>
    <w:rsid w:val="00D255B9"/>
    <w:rsid w:val="00D25DFA"/>
    <w:rsid w:val="00D26B04"/>
    <w:rsid w:val="00D51E10"/>
    <w:rsid w:val="00D82C8F"/>
    <w:rsid w:val="00DF11B6"/>
    <w:rsid w:val="00DF1515"/>
    <w:rsid w:val="00E53036"/>
    <w:rsid w:val="00E62A3F"/>
    <w:rsid w:val="00E63DC9"/>
    <w:rsid w:val="00E75AD9"/>
    <w:rsid w:val="00EA5DF1"/>
    <w:rsid w:val="00EA6791"/>
    <w:rsid w:val="00EF08D7"/>
    <w:rsid w:val="00EF2AC4"/>
    <w:rsid w:val="00F16CDF"/>
    <w:rsid w:val="00F431B9"/>
    <w:rsid w:val="00F5224F"/>
    <w:rsid w:val="00F952E5"/>
    <w:rsid w:val="00FC0410"/>
    <w:rsid w:val="00FC6724"/>
    <w:rsid w:val="00FE4DFC"/>
    <w:rsid w:val="00FF51B3"/>
    <w:rsid w:val="01396D08"/>
    <w:rsid w:val="014F47DA"/>
    <w:rsid w:val="01BC15DB"/>
    <w:rsid w:val="02580D44"/>
    <w:rsid w:val="02F07896"/>
    <w:rsid w:val="03A0319B"/>
    <w:rsid w:val="040522E6"/>
    <w:rsid w:val="05D528C8"/>
    <w:rsid w:val="065F4C13"/>
    <w:rsid w:val="067A4160"/>
    <w:rsid w:val="068D2C8E"/>
    <w:rsid w:val="07031653"/>
    <w:rsid w:val="07457793"/>
    <w:rsid w:val="075E4CF7"/>
    <w:rsid w:val="090D2CD0"/>
    <w:rsid w:val="094A063D"/>
    <w:rsid w:val="09830F04"/>
    <w:rsid w:val="0A3A07BE"/>
    <w:rsid w:val="0A923A9C"/>
    <w:rsid w:val="0B5D3EFD"/>
    <w:rsid w:val="0C1F4E62"/>
    <w:rsid w:val="0E945CF6"/>
    <w:rsid w:val="0EA73B3F"/>
    <w:rsid w:val="0F2E3EDD"/>
    <w:rsid w:val="0F5D1C4A"/>
    <w:rsid w:val="102D7777"/>
    <w:rsid w:val="109332AD"/>
    <w:rsid w:val="10C6734C"/>
    <w:rsid w:val="110975EF"/>
    <w:rsid w:val="123A6A92"/>
    <w:rsid w:val="1257221B"/>
    <w:rsid w:val="12703522"/>
    <w:rsid w:val="12A73215"/>
    <w:rsid w:val="15962639"/>
    <w:rsid w:val="17A21C3B"/>
    <w:rsid w:val="17E47927"/>
    <w:rsid w:val="184C6FDF"/>
    <w:rsid w:val="18C876D8"/>
    <w:rsid w:val="18CD45C3"/>
    <w:rsid w:val="19492A2B"/>
    <w:rsid w:val="194D4FA2"/>
    <w:rsid w:val="1A4C59BC"/>
    <w:rsid w:val="1A8A3DEE"/>
    <w:rsid w:val="1BCC31A3"/>
    <w:rsid w:val="1CAF74D8"/>
    <w:rsid w:val="1D8B276B"/>
    <w:rsid w:val="1E101727"/>
    <w:rsid w:val="1E2702D2"/>
    <w:rsid w:val="1E8223CA"/>
    <w:rsid w:val="1F090131"/>
    <w:rsid w:val="215169AC"/>
    <w:rsid w:val="219C5FCA"/>
    <w:rsid w:val="255F7F7A"/>
    <w:rsid w:val="267A0660"/>
    <w:rsid w:val="270C65A6"/>
    <w:rsid w:val="27C84315"/>
    <w:rsid w:val="280439A5"/>
    <w:rsid w:val="285A312D"/>
    <w:rsid w:val="28C952AD"/>
    <w:rsid w:val="29224275"/>
    <w:rsid w:val="2A0061A4"/>
    <w:rsid w:val="2A7A44B6"/>
    <w:rsid w:val="2AAA21EC"/>
    <w:rsid w:val="2B850F78"/>
    <w:rsid w:val="2C0D6395"/>
    <w:rsid w:val="2C7440A8"/>
    <w:rsid w:val="2C83526D"/>
    <w:rsid w:val="2CCD7669"/>
    <w:rsid w:val="2D5667DC"/>
    <w:rsid w:val="2E68657D"/>
    <w:rsid w:val="2EC623F0"/>
    <w:rsid w:val="2EF75DDF"/>
    <w:rsid w:val="2F2170EC"/>
    <w:rsid w:val="2F7C03F4"/>
    <w:rsid w:val="2F803CE6"/>
    <w:rsid w:val="2F85371B"/>
    <w:rsid w:val="31446FA4"/>
    <w:rsid w:val="337E574C"/>
    <w:rsid w:val="33F01412"/>
    <w:rsid w:val="3490752A"/>
    <w:rsid w:val="35F90EC2"/>
    <w:rsid w:val="36BD1D39"/>
    <w:rsid w:val="380C22C3"/>
    <w:rsid w:val="3B3C308E"/>
    <w:rsid w:val="3B705762"/>
    <w:rsid w:val="3B77292C"/>
    <w:rsid w:val="3B91210A"/>
    <w:rsid w:val="3C9A4F77"/>
    <w:rsid w:val="3D3434C8"/>
    <w:rsid w:val="3D6338A7"/>
    <w:rsid w:val="3E3D71C0"/>
    <w:rsid w:val="3E6C2684"/>
    <w:rsid w:val="3F7B1B9F"/>
    <w:rsid w:val="406468D5"/>
    <w:rsid w:val="41EF42DB"/>
    <w:rsid w:val="42A37F95"/>
    <w:rsid w:val="42A77571"/>
    <w:rsid w:val="43692541"/>
    <w:rsid w:val="438971C4"/>
    <w:rsid w:val="44074B99"/>
    <w:rsid w:val="44AC6318"/>
    <w:rsid w:val="45372C41"/>
    <w:rsid w:val="45C73DD3"/>
    <w:rsid w:val="461D7186"/>
    <w:rsid w:val="4668096B"/>
    <w:rsid w:val="4771627F"/>
    <w:rsid w:val="48235955"/>
    <w:rsid w:val="484850E6"/>
    <w:rsid w:val="493F188B"/>
    <w:rsid w:val="495821EB"/>
    <w:rsid w:val="49D03AE9"/>
    <w:rsid w:val="4B230784"/>
    <w:rsid w:val="4D214DB7"/>
    <w:rsid w:val="4F7B24B3"/>
    <w:rsid w:val="502D7821"/>
    <w:rsid w:val="508616D6"/>
    <w:rsid w:val="517B68DC"/>
    <w:rsid w:val="51FB7A61"/>
    <w:rsid w:val="524843D8"/>
    <w:rsid w:val="5309495A"/>
    <w:rsid w:val="537F7CF5"/>
    <w:rsid w:val="53A62D8A"/>
    <w:rsid w:val="54C94F05"/>
    <w:rsid w:val="55357532"/>
    <w:rsid w:val="553A1EBE"/>
    <w:rsid w:val="560721BC"/>
    <w:rsid w:val="56E64437"/>
    <w:rsid w:val="59350F8E"/>
    <w:rsid w:val="59513D66"/>
    <w:rsid w:val="597F7DE2"/>
    <w:rsid w:val="59A270AB"/>
    <w:rsid w:val="5C753CA7"/>
    <w:rsid w:val="5E9C59BC"/>
    <w:rsid w:val="5F42751C"/>
    <w:rsid w:val="5F9227FE"/>
    <w:rsid w:val="6024370E"/>
    <w:rsid w:val="605273D9"/>
    <w:rsid w:val="606578D3"/>
    <w:rsid w:val="610D548C"/>
    <w:rsid w:val="61145934"/>
    <w:rsid w:val="625C14A1"/>
    <w:rsid w:val="63303E21"/>
    <w:rsid w:val="64862F3F"/>
    <w:rsid w:val="64C44F97"/>
    <w:rsid w:val="655F16CC"/>
    <w:rsid w:val="65D901A5"/>
    <w:rsid w:val="672A3F5C"/>
    <w:rsid w:val="694D0CFC"/>
    <w:rsid w:val="69B91086"/>
    <w:rsid w:val="6A89291F"/>
    <w:rsid w:val="6AA91B5F"/>
    <w:rsid w:val="6B160A7F"/>
    <w:rsid w:val="6B79040F"/>
    <w:rsid w:val="6C177417"/>
    <w:rsid w:val="6CD2667B"/>
    <w:rsid w:val="6DD16D1A"/>
    <w:rsid w:val="6DE253BD"/>
    <w:rsid w:val="6ECE1688"/>
    <w:rsid w:val="6ED563C7"/>
    <w:rsid w:val="703B6800"/>
    <w:rsid w:val="71084031"/>
    <w:rsid w:val="71B42328"/>
    <w:rsid w:val="71CD08A3"/>
    <w:rsid w:val="71D86E6E"/>
    <w:rsid w:val="729C2018"/>
    <w:rsid w:val="72BD4AAA"/>
    <w:rsid w:val="734752B9"/>
    <w:rsid w:val="73EE2B97"/>
    <w:rsid w:val="75063912"/>
    <w:rsid w:val="776828FE"/>
    <w:rsid w:val="7835196E"/>
    <w:rsid w:val="78B86AA8"/>
    <w:rsid w:val="79D456B9"/>
    <w:rsid w:val="7B95505A"/>
    <w:rsid w:val="7CAB5C7D"/>
    <w:rsid w:val="7D4274B2"/>
    <w:rsid w:val="7F904C28"/>
    <w:rsid w:val="7FD35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unhideWhenUsed/>
    <w:qFormat/>
    <w:uiPriority w:val="99"/>
    <w:pPr>
      <w:tabs>
        <w:tab w:val="center" w:pos="4153"/>
        <w:tab w:val="right" w:pos="8306"/>
      </w:tabs>
      <w:snapToGrid w:val="0"/>
      <w:jc w:val="left"/>
    </w:pPr>
    <w:rPr>
      <w:sz w:val="18"/>
      <w:szCs w:val="18"/>
    </w:rPr>
  </w:style>
  <w:style w:type="paragraph" w:styleId="3">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qFormat/>
    <w:uiPriority w:val="3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22"/>
    <w:rPr>
      <w:b/>
      <w:bCs/>
    </w:rPr>
  </w:style>
  <w:style w:type="character" w:styleId="9">
    <w:name w:val="Hyperlink"/>
    <w:basedOn w:val="7"/>
    <w:semiHidden/>
    <w:unhideWhenUsed/>
    <w:qFormat/>
    <w:uiPriority w:val="99"/>
    <w:rPr>
      <w:color w:val="000000"/>
      <w:u w:val="none"/>
    </w:rPr>
  </w:style>
  <w:style w:type="character" w:customStyle="1" w:styleId="10">
    <w:name w:val="页眉 Char"/>
    <w:basedOn w:val="7"/>
    <w:link w:val="3"/>
    <w:qFormat/>
    <w:uiPriority w:val="99"/>
    <w:rPr>
      <w:sz w:val="18"/>
      <w:szCs w:val="18"/>
    </w:rPr>
  </w:style>
  <w:style w:type="character" w:customStyle="1" w:styleId="11">
    <w:name w:val="页脚 Char"/>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1609</Words>
  <Characters>1782</Characters>
  <Lines>11</Lines>
  <Paragraphs>3</Paragraphs>
  <TotalTime>35</TotalTime>
  <ScaleCrop>false</ScaleCrop>
  <LinksUpToDate>false</LinksUpToDate>
  <CharactersWithSpaces>1794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2021-10-08T02:18:00Z</dcterms:created>
  <dc:creator>7</dc:creator>
  <cp:lastModifiedBy>Jasmin</cp:lastModifiedBy>
  <cp:lastPrinted>2022-03-08T02:52:00Z</cp:lastPrinted>
  <dcterms:modified xsi:type="dcterms:W3CDTF">2025-01-09T09:17:10Z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2F5D86C0484A477B80104BC86A7F699C_12</vt:lpwstr>
  </property>
  <property fmtid="{D5CDD505-2E9C-101B-9397-08002B2CF9AE}" pid="4" name="KSOTemplateDocerSaveRecord">
    <vt:lpwstr>eyJoZGlkIjoiNTNjYjA4OWYzNDhiOGY0Yzk0ZTY1MDMyNDU5YjBkODgiLCJ1c2VySWQiOiIyNzU2MzA0OTUifQ==</vt:lpwstr>
  </property>
</Properties>
</file>