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广东龙门产业投资集团有限公司八宗物业公开招租公告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04</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8宗物业：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仿宋_GB2312" w:hAnsi="宋体" w:eastAsia="仿宋_GB2312" w:cs="仿宋_GB2312"/>
                <w:b w:val="0"/>
                <w:bCs w:val="0"/>
                <w:i w:val="0"/>
                <w:iCs w:val="0"/>
                <w:color w:val="000000"/>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广东龙门产业投资集团有限公司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龙门县龙城街道甘南路2-3号首层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43.2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0.0864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广东龙门产业投资集团有限公司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龙门县龙城街道甘南路2-1号首层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66.64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0.1333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广东龙门产业投资集团有限公司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龙门县龙城街道甘南路2-4号首层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43.2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0.0864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广东龙门产业投资集团有限公司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龙门县龙城街道西林路5号首层之一（原麦可顿）</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90.2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0.7216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广东龙门产业投资集团有限公司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龙门县龙城街道西林路5号首层之二（原茶百道）</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68.74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0.5499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广东龙门产业投资集团有限公司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龙门县龙城街道西林路5号二至四层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523.01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0.2615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广东龙门产业投资集团有限公司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龙门县龙城街道城东路2号首层（原保罗运动、爱依服）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442.84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3.3213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广东龙门产业投资集团有限公司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龙门县龙城街道西林路18-5号首层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87.69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0.3683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0.005</w:t>
            </w:r>
          </w:p>
        </w:tc>
      </w:tr>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pStyle w:val="4"/>
        <w:shd w:val="clear" w:color="auto" w:fill="FFFFFF"/>
        <w:autoSpaceDE w:val="0"/>
        <w:spacing w:line="560" w:lineRule="exact"/>
        <w:ind w:firstLine="646"/>
        <w:rPr>
          <w:rStyle w:val="8"/>
          <w:rFonts w:ascii="仿宋" w:hAnsi="仿宋" w:eastAsia="仿宋"/>
          <w:b w:val="0"/>
          <w:color w:val="000000" w:themeColor="text1"/>
          <w:sz w:val="32"/>
          <w:szCs w:val="32"/>
          <w:lang w:val="en"/>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w:t>
      </w:r>
      <w:r>
        <w:rPr>
          <w:rStyle w:val="8"/>
          <w:rFonts w:hint="eastAsia" w:ascii="仿宋" w:hAnsi="仿宋" w:eastAsia="仿宋"/>
          <w:b w:val="0"/>
          <w:color w:val="000000" w:themeColor="text1"/>
          <w:sz w:val="32"/>
          <w:szCs w:val="32"/>
          <w:lang w:val="en"/>
          <w14:textFill>
            <w14:solidFill>
              <w14:schemeClr w14:val="tx1"/>
            </w14:solidFill>
          </w14:textFill>
        </w:rPr>
        <w:t>报名起止时间和自由报价时间详见以下表格</w:t>
      </w:r>
      <w:r>
        <w:rPr>
          <w:rStyle w:val="8"/>
          <w:rFonts w:hint="eastAsia" w:ascii="仿宋" w:hAnsi="仿宋" w:eastAsia="仿宋"/>
          <w:color w:val="FF0000"/>
          <w:sz w:val="32"/>
          <w:szCs w:val="32"/>
          <w:lang w:val="en"/>
        </w:rPr>
        <w:t>（序号参考</w:t>
      </w:r>
      <w:r>
        <w:rPr>
          <w:rStyle w:val="8"/>
          <w:rFonts w:hint="eastAsia" w:ascii="仿宋" w:hAnsi="仿宋" w:eastAsia="仿宋" w:cs="Times New Roman"/>
          <w:color w:val="FF0000"/>
          <w:sz w:val="32"/>
          <w:szCs w:val="32"/>
          <w:lang w:val="en"/>
        </w:rPr>
        <w:t>《广东龙门产业投资集团有限公司八宗物业公开招租一览表》中的标的序号）</w:t>
      </w:r>
      <w:r>
        <w:rPr>
          <w:rStyle w:val="8"/>
          <w:rFonts w:hint="eastAsia" w:ascii="仿宋" w:hAnsi="仿宋" w:eastAsia="仿宋"/>
          <w:b w:val="0"/>
          <w:color w:val="000000" w:themeColor="text1"/>
          <w:sz w:val="32"/>
          <w:szCs w:val="32"/>
          <w:lang w:val="en"/>
          <w14:textFill>
            <w14:solidFill>
              <w14:schemeClr w14:val="tx1"/>
            </w14:solidFill>
          </w14:textFill>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236"/>
        <w:gridCol w:w="2237"/>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74" w:type="dxa"/>
          </w:tcPr>
          <w:p>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US" w:eastAsia="zh-CN"/>
                <w14:textFill>
                  <w14:solidFill>
                    <w14:schemeClr w14:val="tx1"/>
                  </w14:solidFill>
                </w14:textFill>
              </w:rPr>
              <w:t>标的</w:t>
            </w:r>
            <w:r>
              <w:rPr>
                <w:rStyle w:val="8"/>
                <w:rFonts w:hint="eastAsia" w:ascii="仿宋" w:hAnsi="仿宋" w:eastAsia="仿宋"/>
                <w:color w:val="000000" w:themeColor="text1"/>
                <w:sz w:val="24"/>
                <w:szCs w:val="24"/>
                <w:lang w:val="en"/>
                <w14:textFill>
                  <w14:solidFill>
                    <w14:schemeClr w14:val="tx1"/>
                  </w14:solidFill>
                </w14:textFill>
              </w:rPr>
              <w:t>序号</w:t>
            </w:r>
          </w:p>
        </w:tc>
        <w:tc>
          <w:tcPr>
            <w:tcW w:w="2236" w:type="dxa"/>
          </w:tcPr>
          <w:p>
            <w:pPr>
              <w:pStyle w:val="4"/>
              <w:autoSpaceDE w:val="0"/>
              <w:spacing w:line="240" w:lineRule="auto"/>
              <w:jc w:val="center"/>
              <w:rPr>
                <w:rStyle w:val="8"/>
                <w:rFonts w:hint="eastAsia" w:ascii="仿宋" w:hAnsi="仿宋" w:eastAsia="仿宋"/>
                <w:color w:val="000000" w:themeColor="text1"/>
                <w:sz w:val="24"/>
                <w:szCs w:val="24"/>
                <w:lang w:val="en" w:eastAsia="zh-C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p>
        </w:tc>
        <w:tc>
          <w:tcPr>
            <w:tcW w:w="2237" w:type="dxa"/>
          </w:tcPr>
          <w:p>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c>
          <w:tcPr>
            <w:tcW w:w="2659" w:type="dxa"/>
          </w:tcPr>
          <w:p>
            <w:pPr>
              <w:pStyle w:val="4"/>
              <w:autoSpaceDE w:val="0"/>
              <w:jc w:val="center"/>
              <w:rPr>
                <w:rStyle w:val="8"/>
                <w:rFonts w:hint="eastAsia"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eastAsia"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1-</w:t>
            </w:r>
            <w:r>
              <w:rPr>
                <w:rStyle w:val="8"/>
                <w:rFonts w:hint="eastAsia" w:ascii="仿宋" w:hAnsi="仿宋" w:eastAsia="仿宋"/>
                <w:b w:val="0"/>
                <w:color w:val="000000" w:themeColor="text1"/>
                <w:sz w:val="24"/>
                <w:szCs w:val="24"/>
                <w:lang w:val="en-US" w:eastAsia="zh-CN"/>
                <w14:textFill>
                  <w14:solidFill>
                    <w14:schemeClr w14:val="tx1"/>
                  </w14:solidFill>
                </w14:textFill>
              </w:rPr>
              <w:t>4</w:t>
            </w:r>
          </w:p>
        </w:tc>
        <w:tc>
          <w:tcPr>
            <w:tcW w:w="2236" w:type="dxa"/>
            <w:vMerge w:val="restart"/>
            <w:vAlign w:val="center"/>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2026年1月27日9:30</w:t>
            </w:r>
          </w:p>
        </w:tc>
        <w:tc>
          <w:tcPr>
            <w:tcW w:w="2237" w:type="dxa"/>
            <w:vMerge w:val="restart"/>
            <w:vAlign w:val="center"/>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2026年2月10日9:30</w:t>
            </w:r>
          </w:p>
        </w:tc>
        <w:tc>
          <w:tcPr>
            <w:tcW w:w="2659" w:type="dxa"/>
            <w:vAlign w:val="top"/>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default" w:ascii="仿宋" w:hAnsi="仿宋" w:eastAsia="仿宋"/>
                <w:b w:val="0"/>
                <w:color w:val="000000" w:themeColor="text1"/>
                <w:sz w:val="24"/>
                <w:szCs w:val="24"/>
                <w:lang w:val="en-US" w:eastAsia="zh-CN"/>
                <w14:textFill>
                  <w14:solidFill>
                    <w14:schemeClr w14:val="tx1"/>
                  </w14:solidFill>
                </w14:textFill>
              </w:rPr>
              <w:t>2026年2月10日1</w:t>
            </w:r>
            <w:r>
              <w:rPr>
                <w:rStyle w:val="8"/>
                <w:rFonts w:hint="eastAsia" w:ascii="仿宋" w:hAnsi="仿宋" w:eastAsia="仿宋"/>
                <w:b w:val="0"/>
                <w:color w:val="000000" w:themeColor="text1"/>
                <w:sz w:val="24"/>
                <w:szCs w:val="24"/>
                <w:lang w:val="en-US" w:eastAsia="zh-CN"/>
                <w14:textFill>
                  <w14:solidFill>
                    <w14:schemeClr w14:val="tx1"/>
                  </w14:solidFill>
                </w14:textFill>
              </w:rPr>
              <w:t>1</w:t>
            </w:r>
            <w:r>
              <w:rPr>
                <w:rStyle w:val="8"/>
                <w:rFonts w:hint="default" w:ascii="仿宋" w:hAnsi="仿宋" w:eastAsia="仿宋"/>
                <w:b w:val="0"/>
                <w:color w:val="000000" w:themeColor="text1"/>
                <w:sz w:val="24"/>
                <w:szCs w:val="24"/>
                <w:lang w:val="en-US" w:eastAsia="zh-CN"/>
                <w14:textFill>
                  <w14:solidFill>
                    <w14:schemeClr w14:val="tx1"/>
                  </w14:solidFill>
                </w14:textFill>
              </w:rPr>
              <w:t>:</w:t>
            </w:r>
            <w:r>
              <w:rPr>
                <w:rStyle w:val="8"/>
                <w:rFonts w:hint="eastAsia" w:ascii="仿宋" w:hAnsi="仿宋" w:eastAsia="仿宋"/>
                <w:b w:val="0"/>
                <w:color w:val="000000" w:themeColor="text1"/>
                <w:sz w:val="24"/>
                <w:szCs w:val="24"/>
                <w:lang w:val="en-US" w:eastAsia="zh-CN"/>
                <w14:textFill>
                  <w14:solidFill>
                    <w14:schemeClr w14:val="tx1"/>
                  </w14:solidFill>
                </w14:textFill>
              </w:rPr>
              <w:t>0</w:t>
            </w:r>
            <w:r>
              <w:rPr>
                <w:rStyle w:val="8"/>
                <w:rFonts w:hint="default" w:ascii="仿宋" w:hAnsi="仿宋" w:eastAsia="仿宋"/>
                <w:b w:val="0"/>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5-8</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default" w:ascii="仿宋" w:hAnsi="仿宋" w:eastAsia="仿宋"/>
                <w:b w:val="0"/>
                <w:color w:val="000000" w:themeColor="text1"/>
                <w:sz w:val="24"/>
                <w:szCs w:val="24"/>
                <w:lang w:val="en-US" w:eastAsia="zh-CN"/>
                <w14:textFill>
                  <w14:solidFill>
                    <w14:schemeClr w14:val="tx1"/>
                  </w14:solidFill>
                </w14:textFill>
              </w:rPr>
              <w:t>2026年2月10日1</w:t>
            </w:r>
            <w:r>
              <w:rPr>
                <w:rStyle w:val="8"/>
                <w:rFonts w:hint="eastAsia" w:ascii="仿宋" w:hAnsi="仿宋" w:eastAsia="仿宋"/>
                <w:b w:val="0"/>
                <w:color w:val="000000" w:themeColor="text1"/>
                <w:sz w:val="24"/>
                <w:szCs w:val="24"/>
                <w:lang w:val="en-US" w:eastAsia="zh-CN"/>
                <w14:textFill>
                  <w14:solidFill>
                    <w14:schemeClr w14:val="tx1"/>
                  </w14:solidFill>
                </w14:textFill>
              </w:rPr>
              <w:t>1</w:t>
            </w:r>
            <w:r>
              <w:rPr>
                <w:rStyle w:val="8"/>
                <w:rFonts w:hint="default" w:ascii="仿宋" w:hAnsi="仿宋" w:eastAsia="仿宋"/>
                <w:b w:val="0"/>
                <w:color w:val="000000" w:themeColor="text1"/>
                <w:sz w:val="24"/>
                <w:szCs w:val="24"/>
                <w:lang w:val="en-US" w:eastAsia="zh-CN"/>
                <w14:textFill>
                  <w14:solidFill>
                    <w14:schemeClr w14:val="tx1"/>
                  </w14:solidFill>
                </w14:textFill>
              </w:rPr>
              <w:t>:</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hint="default" w:ascii="仿宋" w:hAnsi="仿宋" w:eastAsia="仿宋"/>
                <w:b w:val="0"/>
                <w:color w:val="000000" w:themeColor="text1"/>
                <w:sz w:val="24"/>
                <w:szCs w:val="24"/>
                <w:lang w:val="en-US" w:eastAsia="zh-CN"/>
                <w14:textFill>
                  <w14:solidFill>
                    <w14:schemeClr w14:val="tx1"/>
                  </w14:solidFill>
                </w14:textFill>
              </w:rPr>
              <w:t>0</w:t>
            </w:r>
          </w:p>
        </w:tc>
      </w:tr>
    </w:tbl>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Fonts w:hint="eastAsia" w:ascii="仿宋" w:hAnsi="仿宋" w:eastAsia="仿宋" w:cs="仿宋"/>
          <w:bCs/>
          <w:sz w:val="32"/>
          <w:szCs w:val="32"/>
          <w:lang w:val="en-US" w:eastAsia="zh-CN"/>
        </w:rPr>
        <w:t>不作</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1、业主方：广东龙门产业投资集团有限公司</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袁先生 </w:t>
      </w:r>
      <w:bookmarkStart w:id="3" w:name="_GoBack"/>
      <w:bookmarkEnd w:id="3"/>
      <w:r>
        <w:rPr>
          <w:rFonts w:hint="eastAsia" w:ascii="仿宋" w:hAnsi="仿宋" w:eastAsia="仿宋"/>
          <w:sz w:val="32"/>
          <w:szCs w:val="32"/>
          <w:lang w:val="en-US" w:eastAsia="zh-CN"/>
        </w:rPr>
        <w:t>0752-7888527</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27</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945CF6"/>
    <w:rsid w:val="0EA73B3F"/>
    <w:rsid w:val="0F2E3EDD"/>
    <w:rsid w:val="0F5D1C4A"/>
    <w:rsid w:val="102D7777"/>
    <w:rsid w:val="109332AD"/>
    <w:rsid w:val="10C6734C"/>
    <w:rsid w:val="10F76E91"/>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030EB0"/>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3466E43"/>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2CC0F27"/>
    <w:rsid w:val="337E574C"/>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303F6"/>
    <w:rsid w:val="45372C41"/>
    <w:rsid w:val="45C73DD3"/>
    <w:rsid w:val="461D7186"/>
    <w:rsid w:val="4668096B"/>
    <w:rsid w:val="4771627F"/>
    <w:rsid w:val="48235955"/>
    <w:rsid w:val="484850E6"/>
    <w:rsid w:val="493F188B"/>
    <w:rsid w:val="49531E47"/>
    <w:rsid w:val="495821EB"/>
    <w:rsid w:val="49975E4D"/>
    <w:rsid w:val="49D03AE9"/>
    <w:rsid w:val="4A5363C3"/>
    <w:rsid w:val="4AB61157"/>
    <w:rsid w:val="4B230784"/>
    <w:rsid w:val="4B5948EE"/>
    <w:rsid w:val="4BD15209"/>
    <w:rsid w:val="4CAA2370"/>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1799</Words>
  <Characters>2083</Characters>
  <Lines>11</Lines>
  <Paragraphs>3</Paragraphs>
  <TotalTime>2</TotalTime>
  <ScaleCrop>false</ScaleCrop>
  <LinksUpToDate>false</LinksUpToDate>
  <CharactersWithSpaces>2091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2026-01-26T09:03:55Z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