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85" w:lineRule="atLeast"/>
        <w:jc w:val="center"/>
        <w:rPr>
          <w:rFonts w:cs="仿宋" w:asciiTheme="minorEastAsia" w:hAnsiTheme="minorEastAsia"/>
          <w:b/>
          <w:sz w:val="44"/>
          <w:szCs w:val="44"/>
        </w:rPr>
      </w:pPr>
      <w:r>
        <w:rPr>
          <w:rFonts w:cs="仿宋" w:asciiTheme="minorEastAsia" w:hAnsiTheme="minorEastAsia"/>
          <w:b/>
          <w:sz w:val="44"/>
          <w:szCs w:val="44"/>
        </w:rPr>
        <w:t>交易条件说明</w:t>
      </w:r>
    </w:p>
    <w:p>
      <w:pPr>
        <w:pStyle w:val="4"/>
        <w:widowControl/>
        <w:spacing w:beforeAutospacing="0" w:afterAutospacing="0" w:line="585" w:lineRule="atLeast"/>
        <w:ind w:firstLine="775" w:firstLineChars="250"/>
        <w:rPr>
          <w:rFonts w:cs="仿宋" w:asciiTheme="minorEastAsia" w:hAnsiTheme="minorEastAsia"/>
          <w:sz w:val="31"/>
          <w:szCs w:val="31"/>
        </w:rPr>
      </w:pPr>
    </w:p>
    <w:p>
      <w:pPr>
        <w:pStyle w:val="4"/>
        <w:widowControl/>
        <w:numPr>
          <w:ilvl w:val="0"/>
          <w:numId w:val="1"/>
        </w:numPr>
        <w:spacing w:beforeAutospacing="0" w:afterAutospacing="0" w:line="585" w:lineRule="atLeast"/>
        <w:ind w:firstLine="750" w:firstLineChars="250"/>
        <w:rPr>
          <w:rFonts w:hint="eastAsia" w:cs="仿宋" w:asciiTheme="minorEastAsia" w:hAnsiTheme="minorEastAsia"/>
          <w:sz w:val="30"/>
          <w:szCs w:val="30"/>
        </w:rPr>
      </w:pPr>
      <w:r>
        <w:rPr>
          <w:rFonts w:hint="eastAsia" w:cs="仿宋" w:asciiTheme="minorEastAsia" w:hAnsiTheme="minorEastAsia"/>
          <w:sz w:val="30"/>
          <w:szCs w:val="30"/>
        </w:rPr>
        <w:t>交易标的基本情况：位于博罗县罗阳</w:t>
      </w:r>
      <w:r>
        <w:rPr>
          <w:rFonts w:hint="eastAsia" w:cs="仿宋" w:asciiTheme="minorEastAsia" w:hAnsiTheme="minorEastAsia"/>
          <w:sz w:val="30"/>
          <w:szCs w:val="30"/>
          <w:lang w:val="en-US" w:eastAsia="zh-CN"/>
        </w:rPr>
        <w:t>街道</w:t>
      </w:r>
      <w:r>
        <w:rPr>
          <w:rFonts w:hint="eastAsia" w:cs="仿宋" w:asciiTheme="minorEastAsia" w:hAnsiTheme="minorEastAsia"/>
          <w:sz w:val="30"/>
          <w:szCs w:val="30"/>
        </w:rPr>
        <w:t>博罗大道中601号（大院内）商铺</w:t>
      </w:r>
      <w:r>
        <w:rPr>
          <w:rFonts w:hint="eastAsia" w:cs="仿宋" w:asciiTheme="minorEastAsia" w:hAnsiTheme="minorEastAsia"/>
          <w:sz w:val="30"/>
          <w:szCs w:val="30"/>
          <w:lang w:eastAsia="zh-CN"/>
        </w:rPr>
        <w:t>（</w:t>
      </w:r>
      <w:r>
        <w:rPr>
          <w:rFonts w:hint="eastAsia" w:cs="仿宋" w:asciiTheme="minorEastAsia" w:hAnsiTheme="minorEastAsia"/>
          <w:sz w:val="30"/>
          <w:szCs w:val="30"/>
          <w:lang w:val="en-US" w:eastAsia="zh-CN"/>
        </w:rPr>
        <w:t>第一次降价</w:t>
      </w:r>
      <w:r>
        <w:rPr>
          <w:rFonts w:hint="eastAsia" w:cs="仿宋" w:asciiTheme="minorEastAsia" w:hAnsiTheme="minorEastAsia"/>
          <w:sz w:val="30"/>
          <w:szCs w:val="30"/>
          <w:lang w:eastAsia="zh-CN"/>
        </w:rPr>
        <w:t>）</w:t>
      </w:r>
      <w:r>
        <w:rPr>
          <w:rFonts w:hint="eastAsia" w:cs="仿宋" w:asciiTheme="minorEastAsia" w:hAnsiTheme="minorEastAsia"/>
          <w:sz w:val="30"/>
          <w:szCs w:val="30"/>
        </w:rPr>
        <w:t>，房产面积约</w:t>
      </w:r>
      <w:r>
        <w:rPr>
          <w:rFonts w:hint="eastAsia" w:cs="仿宋" w:asciiTheme="minorEastAsia" w:hAnsiTheme="minorEastAsia"/>
          <w:sz w:val="30"/>
          <w:szCs w:val="30"/>
          <w:lang w:val="en-US" w:eastAsia="zh-CN"/>
        </w:rPr>
        <w:t>53</w:t>
      </w:r>
      <w:r>
        <w:rPr>
          <w:rFonts w:hint="eastAsia" w:cs="仿宋" w:asciiTheme="minorEastAsia" w:hAnsiTheme="minorEastAsia"/>
          <w:sz w:val="30"/>
          <w:szCs w:val="30"/>
        </w:rPr>
        <w:t>㎡。租赁标的实际面积如与信息公告所标示的面积有出入，以实际面积为准，本项目以实物现状为准进行交易。</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5" w:lineRule="atLeast"/>
        <w:ind w:firstLine="600" w:firstLineChars="200"/>
        <w:textAlignment w:val="auto"/>
        <w:rPr>
          <w:rFonts w:asciiTheme="minorEastAsia" w:hAnsiTheme="minorEastAsia"/>
          <w:sz w:val="30"/>
          <w:szCs w:val="30"/>
        </w:rPr>
      </w:pPr>
      <w:r>
        <w:rPr>
          <w:rFonts w:hint="eastAsia" w:cs="仿宋" w:asciiTheme="minorEastAsia" w:hAnsiTheme="minorEastAsia"/>
          <w:sz w:val="30"/>
          <w:szCs w:val="30"/>
        </w:rPr>
        <w:t>二、标的用途：</w:t>
      </w:r>
      <w:r>
        <w:rPr>
          <w:rFonts w:hint="eastAsia" w:cs="仿宋" w:asciiTheme="minorEastAsia" w:hAnsiTheme="minorEastAsia"/>
          <w:sz w:val="30"/>
          <w:szCs w:val="30"/>
          <w:lang w:val="en-US" w:eastAsia="zh-CN"/>
        </w:rPr>
        <w:t>1、</w:t>
      </w:r>
      <w:r>
        <w:rPr>
          <w:rFonts w:hint="eastAsia" w:asciiTheme="minorEastAsia" w:hAnsiTheme="minorEastAsia"/>
          <w:sz w:val="30"/>
          <w:szCs w:val="30"/>
        </w:rPr>
        <w:t>除经营易燃易爆、剧毒或腐蚀性物品以外的行业。2、经营中须保证不对周边居民和单位正常生活工作产生不良影响；3、承租方须依法经营；4、不得转租第三方经营。</w:t>
      </w:r>
    </w:p>
    <w:p>
      <w:pPr>
        <w:pStyle w:val="4"/>
        <w:widowControl/>
        <w:spacing w:beforeAutospacing="0" w:afterAutospacing="0" w:line="585" w:lineRule="atLeast"/>
        <w:ind w:firstLine="645"/>
        <w:rPr>
          <w:rFonts w:asciiTheme="minorEastAsia" w:hAnsiTheme="minorEastAsia"/>
          <w:sz w:val="30"/>
          <w:szCs w:val="30"/>
        </w:rPr>
      </w:pPr>
      <w:r>
        <w:rPr>
          <w:rFonts w:hint="eastAsia" w:cs="仿宋" w:asciiTheme="minorEastAsia" w:hAnsiTheme="minorEastAsia"/>
          <w:sz w:val="30"/>
          <w:szCs w:val="30"/>
          <w:shd w:val="clear" w:color="auto" w:fill="FFFFFF"/>
        </w:rPr>
        <w:t>三、租赁期限：</w:t>
      </w:r>
      <w:r>
        <w:rPr>
          <w:rFonts w:hint="eastAsia" w:cs="仿宋" w:asciiTheme="minorEastAsia" w:hAnsiTheme="minorEastAsia"/>
          <w:sz w:val="30"/>
          <w:szCs w:val="30"/>
          <w:shd w:val="clear" w:color="auto" w:fill="FFFFFF"/>
          <w:lang w:val="en-US" w:eastAsia="zh-CN"/>
        </w:rPr>
        <w:t>3</w:t>
      </w:r>
      <w:r>
        <w:rPr>
          <w:rFonts w:hint="eastAsia" w:cs="仿宋" w:asciiTheme="minorEastAsia" w:hAnsiTheme="minorEastAsia"/>
          <w:sz w:val="30"/>
          <w:szCs w:val="30"/>
          <w:shd w:val="clear" w:color="auto" w:fill="FFFFFF"/>
        </w:rPr>
        <w:t>年（从合同生效日算起）。</w:t>
      </w:r>
    </w:p>
    <w:p>
      <w:pPr>
        <w:pStyle w:val="4"/>
        <w:widowControl/>
        <w:shd w:val="clear" w:color="auto" w:fill="FFFFFF"/>
        <w:spacing w:beforeAutospacing="0" w:afterAutospacing="0" w:line="585" w:lineRule="atLeast"/>
        <w:ind w:firstLine="645"/>
        <w:rPr>
          <w:rFonts w:asciiTheme="minorEastAsia" w:hAnsiTheme="minorEastAsia"/>
          <w:sz w:val="30"/>
          <w:szCs w:val="30"/>
        </w:rPr>
      </w:pPr>
      <w:r>
        <w:rPr>
          <w:rFonts w:hint="eastAsia" w:cs="仿宋" w:asciiTheme="minorEastAsia" w:hAnsiTheme="minorEastAsia"/>
          <w:sz w:val="30"/>
          <w:szCs w:val="30"/>
          <w:shd w:val="clear" w:color="auto" w:fill="FFFFFF"/>
        </w:rPr>
        <w:t>四、报名人条件：1.承租方为中华人民共和国境内依法注册、有效存续的企业法人;2.具有完全民事行为能力的自然人以及具备合法资格的其他组织(不接受联合体)</w:t>
      </w:r>
    </w:p>
    <w:p>
      <w:pPr>
        <w:pStyle w:val="4"/>
        <w:widowControl/>
        <w:autoSpaceDE w:val="0"/>
        <w:spacing w:before="76" w:beforeAutospacing="0" w:afterAutospacing="0"/>
        <w:ind w:firstLine="645"/>
        <w:jc w:val="both"/>
        <w:rPr>
          <w:rFonts w:cs="仿宋" w:asciiTheme="minorEastAsia" w:hAnsiTheme="minorEastAsia"/>
          <w:sz w:val="30"/>
          <w:szCs w:val="30"/>
          <w:shd w:val="clear" w:color="auto" w:fill="FFFFFF"/>
        </w:rPr>
      </w:pPr>
      <w:r>
        <w:rPr>
          <w:rFonts w:hint="eastAsia" w:cs="仿宋" w:asciiTheme="minorEastAsia" w:hAnsiTheme="minorEastAsia"/>
          <w:sz w:val="30"/>
          <w:szCs w:val="30"/>
          <w:shd w:val="clear" w:color="auto" w:fill="FFFFFF"/>
        </w:rPr>
        <w:t>五、交易保证金收退：竞投人须缴纳竞价保证金</w:t>
      </w:r>
      <w:r>
        <w:rPr>
          <w:rFonts w:cs="宋体" w:asciiTheme="minorEastAsia" w:hAnsiTheme="minorEastAsia"/>
          <w:sz w:val="30"/>
          <w:szCs w:val="30"/>
          <w:shd w:val="clear" w:color="auto" w:fill="FFFFFF"/>
        </w:rPr>
        <w:t>¥</w:t>
      </w:r>
      <w:r>
        <w:rPr>
          <w:rFonts w:hint="eastAsia" w:cs="仿宋" w:asciiTheme="minorEastAsia" w:hAnsiTheme="minorEastAsia"/>
          <w:sz w:val="30"/>
          <w:szCs w:val="30"/>
          <w:u w:val="single"/>
          <w:shd w:val="clear" w:color="auto" w:fill="FFFFFF"/>
          <w:lang w:val="en-US" w:eastAsia="zh-CN"/>
        </w:rPr>
        <w:t>2895</w:t>
      </w:r>
      <w:r>
        <w:rPr>
          <w:rFonts w:hint="eastAsia" w:cs="仿宋" w:asciiTheme="minorEastAsia" w:hAnsiTheme="minorEastAsia"/>
          <w:sz w:val="30"/>
          <w:szCs w:val="30"/>
          <w:shd w:val="clear" w:color="auto" w:fill="FFFFFF"/>
        </w:rPr>
        <w:t>元整(</w:t>
      </w:r>
      <w:r>
        <w:rPr>
          <w:rFonts w:hint="eastAsia" w:cs="仿宋" w:asciiTheme="minorEastAsia" w:hAnsiTheme="minorEastAsia"/>
          <w:sz w:val="30"/>
          <w:szCs w:val="30"/>
          <w:u w:val="single"/>
          <w:shd w:val="clear" w:color="auto" w:fill="FFFFFF"/>
        </w:rPr>
        <w:t>人民币</w:t>
      </w:r>
      <w:r>
        <w:rPr>
          <w:rFonts w:hint="eastAsia" w:cs="仿宋" w:asciiTheme="minorEastAsia" w:hAnsiTheme="minorEastAsia"/>
          <w:sz w:val="30"/>
          <w:szCs w:val="30"/>
          <w:u w:val="single"/>
          <w:shd w:val="clear" w:color="auto" w:fill="FFFFFF"/>
          <w:lang w:val="en-US" w:eastAsia="zh-CN"/>
        </w:rPr>
        <w:t>贰仟捌佰玖拾伍元</w:t>
      </w:r>
      <w:r>
        <w:rPr>
          <w:rFonts w:hint="eastAsia" w:cs="仿宋" w:asciiTheme="minorEastAsia" w:hAnsiTheme="minorEastAsia"/>
          <w:sz w:val="30"/>
          <w:szCs w:val="30"/>
          <w:u w:val="single"/>
          <w:shd w:val="clear" w:color="auto" w:fill="FFFFFF"/>
        </w:rPr>
        <w:t>整</w:t>
      </w:r>
      <w:r>
        <w:rPr>
          <w:rFonts w:hint="eastAsia" w:cs="仿宋" w:asciiTheme="minorEastAsia" w:hAnsiTheme="minorEastAsia"/>
          <w:sz w:val="30"/>
          <w:szCs w:val="30"/>
          <w:shd w:val="clear" w:color="auto" w:fill="FFFFFF"/>
        </w:rPr>
        <w:t>）。竞投人竞得项目后，待结果公示期满（3个工作日，以网上成交日起计）且无异议后5个工作日内持相关资料到惠州市公共资源交易中心博罗分中心领取成交通知书，在收到成交通知书之日起5个工作日内凭成交通知书与委托方签订租赁合同，竞得人逾期未领取成交通知书或签订合同的，视为自动放弃竞得资格并竞价保证金不予退还。竞得人保证金在交易中心收到交易双方签订的租赁合同后原路退还；未竞得人保证金在结果公示无异议后原路退还。</w:t>
      </w:r>
    </w:p>
    <w:p>
      <w:pPr>
        <w:pStyle w:val="4"/>
        <w:widowControl/>
        <w:autoSpaceDE w:val="0"/>
        <w:spacing w:before="76" w:beforeAutospacing="0" w:afterAutospacing="0"/>
        <w:ind w:firstLine="645"/>
        <w:jc w:val="both"/>
        <w:rPr>
          <w:rFonts w:cs="仿宋" w:asciiTheme="minorEastAsia" w:hAnsiTheme="minorEastAsia"/>
          <w:sz w:val="30"/>
          <w:szCs w:val="30"/>
          <w:shd w:val="clear" w:color="auto" w:fill="FFFFFF"/>
        </w:rPr>
      </w:pPr>
      <w:r>
        <w:rPr>
          <w:rFonts w:hint="eastAsia" w:cs="仿宋" w:asciiTheme="minorEastAsia" w:hAnsiTheme="minorEastAsia"/>
          <w:sz w:val="30"/>
          <w:szCs w:val="30"/>
        </w:rPr>
        <w:t>六、租赁押金：本项目承租人须缴纳租赁押金</w:t>
      </w:r>
      <w:r>
        <w:rPr>
          <w:rFonts w:cs="宋体" w:asciiTheme="minorEastAsia" w:hAnsiTheme="minorEastAsia"/>
          <w:sz w:val="30"/>
          <w:szCs w:val="30"/>
          <w:u w:val="single"/>
          <w:shd w:val="clear" w:color="auto" w:fill="FFFFFF"/>
        </w:rPr>
        <w:t>¥</w:t>
      </w:r>
      <w:r>
        <w:rPr>
          <w:rFonts w:hint="eastAsia" w:cs="宋体" w:asciiTheme="minorEastAsia" w:hAnsiTheme="minorEastAsia"/>
          <w:sz w:val="30"/>
          <w:szCs w:val="30"/>
          <w:u w:val="single"/>
          <w:shd w:val="clear" w:color="auto" w:fill="FFFFFF"/>
          <w:lang w:val="en-US" w:eastAsia="zh-CN"/>
        </w:rPr>
        <w:t>2895</w:t>
      </w:r>
      <w:r>
        <w:rPr>
          <w:rFonts w:hint="eastAsia" w:cs="仿宋" w:asciiTheme="minorEastAsia" w:hAnsiTheme="minorEastAsia"/>
          <w:sz w:val="30"/>
          <w:szCs w:val="30"/>
          <w:shd w:val="clear" w:color="auto" w:fill="FFFFFF"/>
        </w:rPr>
        <w:t>元整(人民币</w:t>
      </w:r>
      <w:r>
        <w:rPr>
          <w:rFonts w:hint="eastAsia" w:cs="仿宋" w:asciiTheme="minorEastAsia" w:hAnsiTheme="minorEastAsia"/>
          <w:sz w:val="30"/>
          <w:szCs w:val="30"/>
          <w:u w:val="single"/>
          <w:shd w:val="clear" w:color="auto" w:fill="FFFFFF"/>
          <w:lang w:val="en-US" w:eastAsia="zh-CN"/>
        </w:rPr>
        <w:t>贰仟捌佰玖拾伍元</w:t>
      </w:r>
      <w:r>
        <w:rPr>
          <w:rFonts w:hint="eastAsia" w:cs="仿宋" w:asciiTheme="minorEastAsia" w:hAnsiTheme="minorEastAsia"/>
          <w:sz w:val="30"/>
          <w:szCs w:val="30"/>
          <w:shd w:val="clear" w:color="auto" w:fill="FFFFFF"/>
        </w:rPr>
        <w:t>整）</w:t>
      </w:r>
      <w:r>
        <w:rPr>
          <w:rFonts w:hint="eastAsia" w:cs="仿宋" w:asciiTheme="minorEastAsia" w:hAnsiTheme="minorEastAsia"/>
          <w:sz w:val="30"/>
          <w:szCs w:val="30"/>
        </w:rPr>
        <w:t>，押金的收取应于本合同签订后5日内支付至本合同约定的收款账户。</w:t>
      </w:r>
    </w:p>
    <w:p>
      <w:pPr>
        <w:tabs>
          <w:tab w:val="left" w:pos="4158"/>
        </w:tabs>
        <w:spacing w:line="560" w:lineRule="exact"/>
        <w:ind w:firstLine="600" w:firstLineChars="200"/>
        <w:rPr>
          <w:rFonts w:cs="仿宋" w:asciiTheme="minorEastAsia" w:hAnsiTheme="minorEastAsia"/>
          <w:sz w:val="30"/>
          <w:szCs w:val="30"/>
        </w:rPr>
      </w:pPr>
      <w:r>
        <w:rPr>
          <w:rFonts w:hint="eastAsia" w:cs="仿宋" w:asciiTheme="minorEastAsia" w:hAnsiTheme="minorEastAsia"/>
          <w:sz w:val="30"/>
          <w:szCs w:val="30"/>
        </w:rPr>
        <w:t>七、竞租人需认真阅读委托方提供的《租赁合同》版本，竞租人竞得租赁物业必须严格按照委托方提供的合同版本签订合同，不得反悔，否则取消竞得资格，竞价保证金不予退还。</w:t>
      </w:r>
    </w:p>
    <w:p>
      <w:pPr>
        <w:tabs>
          <w:tab w:val="left" w:pos="4158"/>
        </w:tabs>
        <w:spacing w:line="560" w:lineRule="exact"/>
        <w:ind w:firstLine="600" w:firstLineChars="200"/>
        <w:rPr>
          <w:rFonts w:cs="仿宋" w:asciiTheme="minorEastAsia" w:hAnsiTheme="minorEastAsia"/>
          <w:sz w:val="30"/>
          <w:szCs w:val="30"/>
        </w:rPr>
      </w:pPr>
      <w:r>
        <w:rPr>
          <w:rFonts w:hint="eastAsia" w:cs="仿宋" w:asciiTheme="minorEastAsia" w:hAnsiTheme="minorEastAsia"/>
          <w:sz w:val="30"/>
          <w:szCs w:val="30"/>
        </w:rPr>
        <w:t>八、装修说明：本标的物不设装修免租期，提前终止合同或合同期满后退租时标的物的装修不得私自拆卸，不得索要任何装修费用。</w:t>
      </w:r>
    </w:p>
    <w:p>
      <w:pPr>
        <w:tabs>
          <w:tab w:val="left" w:pos="4158"/>
        </w:tabs>
        <w:spacing w:line="560" w:lineRule="exact"/>
        <w:ind w:firstLine="600" w:firstLineChars="200"/>
        <w:rPr>
          <w:rFonts w:cs="仿宋" w:asciiTheme="minorEastAsia" w:hAnsiTheme="minorEastAsia"/>
          <w:sz w:val="30"/>
          <w:szCs w:val="30"/>
        </w:rPr>
      </w:pPr>
      <w:r>
        <w:rPr>
          <w:rFonts w:hint="eastAsia" w:cs="仿宋" w:asciiTheme="minorEastAsia" w:hAnsiTheme="minorEastAsia"/>
          <w:sz w:val="30"/>
          <w:szCs w:val="30"/>
        </w:rPr>
        <w:t>九、提前终止合同：租赁期间，因不可抗拒的原因、市政动迁、政府及有关职能部门需征用或拆除、改造租赁物、委托方企业改制需资产处置、收回已租赁标的物时，承租方无条件执行，本合同随即终止。委托方提前通知承租方，承租方应当在收到委托方通知的期限内搬迁完毕，由此引起承租方的经济损失委托方不作任何经济补偿或赔偿（含承租方在合约期内的合理合法改善及增设他物和装修等费用）。</w:t>
      </w:r>
    </w:p>
    <w:p>
      <w:pPr>
        <w:tabs>
          <w:tab w:val="left" w:pos="4158"/>
        </w:tabs>
        <w:spacing w:line="560" w:lineRule="exact"/>
        <w:ind w:firstLine="600" w:firstLineChars="200"/>
        <w:rPr>
          <w:rFonts w:cs="仿宋" w:asciiTheme="minorEastAsia" w:hAnsiTheme="minorEastAsia"/>
          <w:sz w:val="30"/>
          <w:szCs w:val="30"/>
        </w:rPr>
      </w:pPr>
      <w:r>
        <w:rPr>
          <w:rFonts w:hint="eastAsia" w:cs="仿宋" w:asciiTheme="minorEastAsia" w:hAnsiTheme="minorEastAsia"/>
          <w:sz w:val="30"/>
          <w:szCs w:val="30"/>
        </w:rPr>
        <w:t>十、意向竟投人可与委托方（业主）联系到标的物处察看并了解标的现状。</w:t>
      </w:r>
    </w:p>
    <w:p>
      <w:pPr>
        <w:tabs>
          <w:tab w:val="left" w:pos="4158"/>
        </w:tabs>
        <w:spacing w:line="560" w:lineRule="exact"/>
        <w:ind w:firstLine="600" w:firstLineChars="200"/>
        <w:rPr>
          <w:rFonts w:hint="default" w:asciiTheme="minorEastAsia" w:hAnsiTheme="minorEastAsia" w:eastAsiaTheme="minorEastAsia"/>
          <w:sz w:val="30"/>
          <w:szCs w:val="30"/>
          <w:lang w:val="en-US" w:eastAsia="zh-CN"/>
        </w:rPr>
      </w:pPr>
      <w:r>
        <w:rPr>
          <w:rFonts w:hint="eastAsia" w:cs="仿宋" w:asciiTheme="minorEastAsia" w:hAnsiTheme="minorEastAsia"/>
          <w:sz w:val="30"/>
          <w:szCs w:val="30"/>
        </w:rPr>
        <w:t>联系人：叶兆平     电话：</w:t>
      </w:r>
      <w:r>
        <w:rPr>
          <w:rFonts w:hint="eastAsia" w:asciiTheme="minorEastAsia" w:hAnsiTheme="minorEastAsia"/>
          <w:sz w:val="30"/>
          <w:szCs w:val="30"/>
          <w:lang w:val="en-US" w:eastAsia="zh-CN"/>
        </w:rPr>
        <w:t>6622248</w:t>
      </w:r>
    </w:p>
    <w:p>
      <w:pPr>
        <w:pStyle w:val="4"/>
        <w:widowControl/>
        <w:spacing w:beforeAutospacing="0" w:afterAutospacing="0"/>
        <w:ind w:right="160"/>
        <w:rPr>
          <w:rFonts w:hint="eastAsia" w:cs="仿宋" w:asciiTheme="minorEastAsia" w:hAnsiTheme="minorEastAsia"/>
          <w:sz w:val="30"/>
          <w:szCs w:val="30"/>
        </w:rPr>
      </w:pPr>
      <w:r>
        <w:rPr>
          <w:rFonts w:hint="eastAsia" w:cs="仿宋" w:asciiTheme="minorEastAsia" w:hAnsiTheme="minorEastAsia"/>
          <w:sz w:val="30"/>
          <w:szCs w:val="30"/>
        </w:rPr>
        <w:t xml:space="preserve">                                  </w:t>
      </w:r>
    </w:p>
    <w:p>
      <w:pPr>
        <w:pStyle w:val="4"/>
        <w:widowControl/>
        <w:spacing w:beforeAutospacing="0" w:afterAutospacing="0"/>
        <w:ind w:right="160"/>
        <w:rPr>
          <w:rFonts w:hint="eastAsia" w:cs="仿宋" w:asciiTheme="minorEastAsia" w:hAnsiTheme="minorEastAsia"/>
          <w:sz w:val="30"/>
          <w:szCs w:val="30"/>
        </w:rPr>
      </w:pPr>
    </w:p>
    <w:p>
      <w:pPr>
        <w:pStyle w:val="4"/>
        <w:keepNext w:val="0"/>
        <w:keepLines w:val="0"/>
        <w:pageBreakBefore w:val="0"/>
        <w:widowControl/>
        <w:kinsoku/>
        <w:wordWrap/>
        <w:overflowPunct/>
        <w:topLinePunct w:val="0"/>
        <w:autoSpaceDE/>
        <w:autoSpaceDN/>
        <w:bidi w:val="0"/>
        <w:adjustRightInd/>
        <w:snapToGrid/>
        <w:spacing w:beforeAutospacing="0" w:afterAutospacing="0"/>
        <w:ind w:right="0"/>
        <w:jc w:val="right"/>
        <w:textAlignment w:val="auto"/>
        <w:rPr>
          <w:rFonts w:cs="仿宋" w:asciiTheme="minorEastAsia" w:hAnsiTheme="minorEastAsia"/>
          <w:sz w:val="30"/>
          <w:szCs w:val="30"/>
        </w:rPr>
      </w:pPr>
      <w:r>
        <w:rPr>
          <w:rFonts w:hint="eastAsia" w:cs="仿宋" w:asciiTheme="minorEastAsia" w:hAnsiTheme="minorEastAsia"/>
          <w:sz w:val="30"/>
          <w:szCs w:val="30"/>
        </w:rPr>
        <w:t>博罗县商业储运公司</w:t>
      </w:r>
    </w:p>
    <w:p>
      <w:pPr>
        <w:pStyle w:val="4"/>
        <w:keepNext w:val="0"/>
        <w:keepLines w:val="0"/>
        <w:pageBreakBefore w:val="0"/>
        <w:widowControl/>
        <w:kinsoku/>
        <w:wordWrap w:val="0"/>
        <w:overflowPunct/>
        <w:topLinePunct w:val="0"/>
        <w:autoSpaceDE/>
        <w:autoSpaceDN/>
        <w:bidi w:val="0"/>
        <w:adjustRightInd/>
        <w:snapToGrid/>
        <w:spacing w:beforeAutospacing="0" w:afterAutospacing="0"/>
        <w:ind w:right="0" w:firstLine="0" w:firstLineChars="0"/>
        <w:jc w:val="right"/>
        <w:textAlignment w:val="auto"/>
        <w:rPr>
          <w:rFonts w:hint="default" w:asciiTheme="minorEastAsia" w:hAnsiTheme="minorEastAsia" w:eastAsiaTheme="minorEastAsia"/>
          <w:sz w:val="30"/>
          <w:szCs w:val="30"/>
          <w:lang w:val="en-US" w:eastAsia="zh-CN"/>
        </w:rPr>
      </w:pPr>
      <w:r>
        <w:rPr>
          <w:rFonts w:hint="eastAsia" w:asciiTheme="minorEastAsia" w:hAnsiTheme="minorEastAsia"/>
          <w:sz w:val="30"/>
          <w:szCs w:val="30"/>
          <w:lang w:val="en-US" w:eastAsia="zh-CN"/>
        </w:rPr>
        <w:t>2024年3月20</w:t>
      </w:r>
      <w:bookmarkStart w:id="0" w:name="_GoBack"/>
      <w:bookmarkEnd w:id="0"/>
      <w:r>
        <w:rPr>
          <w:rFonts w:hint="eastAsia" w:asciiTheme="minorEastAsia" w:hAnsiTheme="minorEastAsia"/>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8ECE4"/>
    <w:multiLevelType w:val="singleLevel"/>
    <w:tmpl w:val="EF78EC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A0Nzc5ZWI1YTBjYjI2MTBiZTM1OTBmNTFjN2RmYWQifQ=="/>
  </w:docVars>
  <w:rsids>
    <w:rsidRoot w:val="5235099A"/>
    <w:rsid w:val="00003CB4"/>
    <w:rsid w:val="000058CB"/>
    <w:rsid w:val="00031EEC"/>
    <w:rsid w:val="00052CC3"/>
    <w:rsid w:val="00077A61"/>
    <w:rsid w:val="00091AEB"/>
    <w:rsid w:val="000A03E4"/>
    <w:rsid w:val="0011188E"/>
    <w:rsid w:val="0011327C"/>
    <w:rsid w:val="001449D4"/>
    <w:rsid w:val="001C2095"/>
    <w:rsid w:val="001E113A"/>
    <w:rsid w:val="001F0F25"/>
    <w:rsid w:val="00213264"/>
    <w:rsid w:val="00225425"/>
    <w:rsid w:val="00246654"/>
    <w:rsid w:val="002A62B6"/>
    <w:rsid w:val="002B459F"/>
    <w:rsid w:val="002C3671"/>
    <w:rsid w:val="00352D71"/>
    <w:rsid w:val="003B2AE6"/>
    <w:rsid w:val="003B6D45"/>
    <w:rsid w:val="003E1D7F"/>
    <w:rsid w:val="00404468"/>
    <w:rsid w:val="004364FE"/>
    <w:rsid w:val="004461C0"/>
    <w:rsid w:val="0045073E"/>
    <w:rsid w:val="00471B56"/>
    <w:rsid w:val="004C55E3"/>
    <w:rsid w:val="005038BF"/>
    <w:rsid w:val="00521E6E"/>
    <w:rsid w:val="00562208"/>
    <w:rsid w:val="00594346"/>
    <w:rsid w:val="00711AC2"/>
    <w:rsid w:val="008B04C3"/>
    <w:rsid w:val="008D6C2A"/>
    <w:rsid w:val="00966C00"/>
    <w:rsid w:val="009A1005"/>
    <w:rsid w:val="009A6B77"/>
    <w:rsid w:val="009B60AD"/>
    <w:rsid w:val="00A3789F"/>
    <w:rsid w:val="00A470D6"/>
    <w:rsid w:val="00A722B3"/>
    <w:rsid w:val="00B9309E"/>
    <w:rsid w:val="00BB3103"/>
    <w:rsid w:val="00BD5C09"/>
    <w:rsid w:val="00BF7163"/>
    <w:rsid w:val="00C11B89"/>
    <w:rsid w:val="00C12103"/>
    <w:rsid w:val="00C50755"/>
    <w:rsid w:val="00C62ECE"/>
    <w:rsid w:val="00CE0334"/>
    <w:rsid w:val="00D25481"/>
    <w:rsid w:val="00D66118"/>
    <w:rsid w:val="00DB43DB"/>
    <w:rsid w:val="00DE3EFA"/>
    <w:rsid w:val="00E06A4C"/>
    <w:rsid w:val="00E13385"/>
    <w:rsid w:val="00E32525"/>
    <w:rsid w:val="00E330A4"/>
    <w:rsid w:val="00EB2CB1"/>
    <w:rsid w:val="00EF6DFC"/>
    <w:rsid w:val="00F058C2"/>
    <w:rsid w:val="00FA0E14"/>
    <w:rsid w:val="02BC4FC0"/>
    <w:rsid w:val="044E5B69"/>
    <w:rsid w:val="07D51D24"/>
    <w:rsid w:val="093622A7"/>
    <w:rsid w:val="098827C8"/>
    <w:rsid w:val="0B4A0C8F"/>
    <w:rsid w:val="0B6347B1"/>
    <w:rsid w:val="0BB17F79"/>
    <w:rsid w:val="0D3B096F"/>
    <w:rsid w:val="0E5C1B60"/>
    <w:rsid w:val="0EBC0F0E"/>
    <w:rsid w:val="114E2471"/>
    <w:rsid w:val="13387E88"/>
    <w:rsid w:val="18223680"/>
    <w:rsid w:val="189F362A"/>
    <w:rsid w:val="1A4067BE"/>
    <w:rsid w:val="1DEE028D"/>
    <w:rsid w:val="1F7F39E3"/>
    <w:rsid w:val="20842256"/>
    <w:rsid w:val="21F508EF"/>
    <w:rsid w:val="27320DA9"/>
    <w:rsid w:val="28C72D49"/>
    <w:rsid w:val="2BB46CEB"/>
    <w:rsid w:val="2D273292"/>
    <w:rsid w:val="2F0617B3"/>
    <w:rsid w:val="3266616C"/>
    <w:rsid w:val="337B2B96"/>
    <w:rsid w:val="34353C90"/>
    <w:rsid w:val="355344E3"/>
    <w:rsid w:val="37D95E06"/>
    <w:rsid w:val="393B0856"/>
    <w:rsid w:val="3C867C64"/>
    <w:rsid w:val="3DD637EF"/>
    <w:rsid w:val="3EA634CC"/>
    <w:rsid w:val="3EB56DDC"/>
    <w:rsid w:val="3EDA4502"/>
    <w:rsid w:val="442C03A1"/>
    <w:rsid w:val="46245718"/>
    <w:rsid w:val="49610017"/>
    <w:rsid w:val="4CDF71F1"/>
    <w:rsid w:val="4D1224A5"/>
    <w:rsid w:val="4D166480"/>
    <w:rsid w:val="4D27439D"/>
    <w:rsid w:val="4DF60A1B"/>
    <w:rsid w:val="5235099A"/>
    <w:rsid w:val="53067862"/>
    <w:rsid w:val="5367649F"/>
    <w:rsid w:val="55D17F37"/>
    <w:rsid w:val="57B02059"/>
    <w:rsid w:val="57D61E46"/>
    <w:rsid w:val="589F66DB"/>
    <w:rsid w:val="5BA56895"/>
    <w:rsid w:val="5EFC4C22"/>
    <w:rsid w:val="608E78BF"/>
    <w:rsid w:val="6231552C"/>
    <w:rsid w:val="630A70A2"/>
    <w:rsid w:val="6336347D"/>
    <w:rsid w:val="636A347B"/>
    <w:rsid w:val="64B10F29"/>
    <w:rsid w:val="675E0BEF"/>
    <w:rsid w:val="677D36D1"/>
    <w:rsid w:val="68E10A57"/>
    <w:rsid w:val="69E406A1"/>
    <w:rsid w:val="6C6A4896"/>
    <w:rsid w:val="6F61452A"/>
    <w:rsid w:val="70BA5DF6"/>
    <w:rsid w:val="72416B1C"/>
    <w:rsid w:val="74130A2A"/>
    <w:rsid w:val="7467455A"/>
    <w:rsid w:val="755D5632"/>
    <w:rsid w:val="757626AD"/>
    <w:rsid w:val="76D04BDB"/>
    <w:rsid w:val="775D2E94"/>
    <w:rsid w:val="79D36B5D"/>
    <w:rsid w:val="7A9610C8"/>
    <w:rsid w:val="7E4539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5"/>
    <w:autoRedefine/>
    <w:qFormat/>
    <w:uiPriority w:val="0"/>
    <w:pPr>
      <w:tabs>
        <w:tab w:val="center" w:pos="4153"/>
        <w:tab w:val="right" w:pos="8306"/>
      </w:tabs>
      <w:snapToGrid w:val="0"/>
      <w:jc w:val="left"/>
    </w:pPr>
    <w:rPr>
      <w:sz w:val="18"/>
      <w:szCs w:val="18"/>
    </w:rPr>
  </w:style>
  <w:style w:type="paragraph" w:styleId="3">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FollowedHyperlink"/>
    <w:basedOn w:val="6"/>
    <w:autoRedefine/>
    <w:qFormat/>
    <w:uiPriority w:val="0"/>
    <w:rPr>
      <w:color w:val="000000"/>
      <w:u w:val="none"/>
    </w:rPr>
  </w:style>
  <w:style w:type="character" w:styleId="8">
    <w:name w:val="Hyperlink"/>
    <w:basedOn w:val="6"/>
    <w:autoRedefine/>
    <w:qFormat/>
    <w:uiPriority w:val="0"/>
    <w:rPr>
      <w:color w:val="000000"/>
      <w:u w:val="none"/>
    </w:rPr>
  </w:style>
  <w:style w:type="character" w:customStyle="1" w:styleId="9">
    <w:name w:val="layui-layer-tabnow"/>
    <w:basedOn w:val="6"/>
    <w:autoRedefine/>
    <w:qFormat/>
    <w:uiPriority w:val="0"/>
    <w:rPr>
      <w:bdr w:val="single" w:color="CCCCCC" w:sz="6" w:space="0"/>
      <w:shd w:val="clear" w:color="auto" w:fill="FFFFFF"/>
    </w:rPr>
  </w:style>
  <w:style w:type="character" w:customStyle="1" w:styleId="10">
    <w:name w:val="hover8"/>
    <w:basedOn w:val="6"/>
    <w:autoRedefine/>
    <w:qFormat/>
    <w:uiPriority w:val="0"/>
    <w:rPr>
      <w:shd w:val="clear" w:color="auto" w:fill="F3F3F3"/>
    </w:rPr>
  </w:style>
  <w:style w:type="character" w:customStyle="1" w:styleId="11">
    <w:name w:val="hover9"/>
    <w:basedOn w:val="6"/>
    <w:autoRedefine/>
    <w:qFormat/>
    <w:uiPriority w:val="0"/>
    <w:rPr>
      <w:sz w:val="21"/>
      <w:szCs w:val="21"/>
    </w:rPr>
  </w:style>
  <w:style w:type="character" w:customStyle="1" w:styleId="12">
    <w:name w:val="hover10"/>
    <w:basedOn w:val="6"/>
    <w:autoRedefine/>
    <w:qFormat/>
    <w:uiPriority w:val="0"/>
    <w:rPr>
      <w:shd w:val="clear" w:color="auto" w:fill="F3F3F3"/>
    </w:rPr>
  </w:style>
  <w:style w:type="character" w:customStyle="1" w:styleId="13">
    <w:name w:val="first-child"/>
    <w:basedOn w:val="6"/>
    <w:autoRedefine/>
    <w:qFormat/>
    <w:uiPriority w:val="0"/>
  </w:style>
  <w:style w:type="character" w:customStyle="1" w:styleId="14">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15">
    <w:name w:val="页脚 Char"/>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A302-A7A6-4C6C-BD4E-7BA4EEAE735D}">
  <ds:schemaRefs/>
</ds:datastoreItem>
</file>

<file path=docProps/app.xml><?xml version="1.0" encoding="utf-8"?>
<Properties xmlns="http://schemas.openxmlformats.org/officeDocument/2006/extended-properties" xmlns:vt="http://schemas.openxmlformats.org/officeDocument/2006/docPropsVTypes">
  <Template>Normal</Template>
  <Company>博罗县委办公室</Company>
  <Pages>2</Pages>
  <Words>156</Words>
  <Characters>891</Characters>
  <Lines>7</Lines>
  <Paragraphs>2</Paragraphs>
  <TotalTime>21</TotalTime>
  <ScaleCrop>false</ScaleCrop>
  <LinksUpToDate>false</LinksUpToDate>
  <CharactersWithSpaces>1045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2022-06-21T08:53:00Z</dcterms:created>
  <dc:creator>a8</dc:creator>
  <cp:lastModifiedBy>HERETO</cp:lastModifiedBy>
  <cp:lastPrinted>2023-04-17T02:15:00Z</cp:lastPrinted>
  <dcterms:modified xsi:type="dcterms:W3CDTF">2024-03-18T02:35:28Z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5A9B64536BB444AEB7E3C8E77E2F1DF1</vt:lpwstr>
  </property>
</Properties>
</file>