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桥东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街道办事处对竞价方的要求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、为方便管理，竞标方严格限定为中华人民共和国境内依法注册、有效存续的企业法人，不允许以个人名义参与竞标。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、竞得方须在确定取得承包经营权(即竞得)后3个工作日内与惠城区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桥东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街道办事处签订经营权承包合同，逾期视为自动放弃承包经营权。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、双方签订合同时，竞得方须缴纳履约保证金给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桥东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街道办事处，结合《惠城区2024年迎春花市及年货摆卖工作实施方案(惠城府办函[2023]51号)》的文件精神，履约保证金按花市摆卖点预期最高档位租金总和(预设档数单档档位租金最高限额)来收取，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桥东</w:t>
      </w:r>
      <w:r>
        <w:rPr>
          <w:rFonts w:hint="eastAsia" w:ascii="仿宋_GB2312" w:hAnsi="仿宋_GB2312" w:eastAsia="仿宋_GB2312" w:cs="仿宋_GB2312"/>
          <w:sz w:val="32"/>
          <w:szCs w:val="32"/>
        </w:rPr>
        <w:t>设1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档，单档租金限价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3100元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，履约保证金应缴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</w:rPr>
        <w:t>方按规定承包经营过程中的所有税费、罚款、相关责任事故等由竞买方全部负责。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五、年货摆卖点的中标方必须安排8-10人专职负责年货摆卖点的安全、消防及协调对接工作(必须随时保持有专人在现场，能够随时联系)。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六、对违反《惠州市2024年迎春花市经营承包合同》相关条款的，将严格按照合同的约定进行处理。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320" w:firstLineChars="72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惠州市惠城区人民政府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桥东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320" w:firstLineChars="72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82841"/>
    <w:rsid w:val="41890261"/>
    <w:rsid w:val="4ED8471E"/>
    <w:rsid w:val="6D88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2024-01-02T02:17:00Z</dcterms:created>
  <dc:creator>Administrator</dc:creator>
  <cp:lastModifiedBy>黑马.ZF</cp:lastModifiedBy>
  <cp:lastPrinted>2024-01-02T02:50:00Z</cp:lastPrinted>
  <dcterms:modified xsi:type="dcterms:W3CDTF">2024-01-04T01:46:55Z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EA24ACE5AE3245E69B7F342F66D6524E</vt:lpwstr>
  </property>
</Properties>
</file>