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_GBK"/>
          <w:color w:val="000000"/>
          <w:sz w:val="44"/>
          <w:szCs w:val="44"/>
          <w:lang w:eastAsia="zh-CN"/>
        </w:rPr>
      </w:pPr>
      <w:r>
        <w:rPr>
          <w:rFonts w:hint="eastAsia" w:ascii="方正小标宋简体" w:hAnsi="方正小标宋简体" w:eastAsia="方正小标宋简体" w:cs="方正小标宋简体"/>
          <w:color w:val="000000"/>
          <w:sz w:val="44"/>
          <w:szCs w:val="44"/>
        </w:rPr>
        <w:t>招租</w:t>
      </w:r>
      <w:r>
        <w:rPr>
          <w:rFonts w:hint="eastAsia" w:ascii="方正小标宋简体" w:hAnsi="方正小标宋简体" w:eastAsia="方正小标宋简体" w:cs="方正小标宋简体"/>
          <w:color w:val="000000"/>
          <w:sz w:val="44"/>
          <w:szCs w:val="44"/>
        </w:rPr>
        <w:t>相关条件</w:t>
      </w:r>
    </w:p>
    <w:p>
      <w:pPr>
        <w:keepNext w:val="0"/>
        <w:keepLines w:val="0"/>
        <w:pageBreakBefore w:val="0"/>
        <w:kinsoku/>
        <w:wordWrap/>
        <w:overflowPunct/>
        <w:topLinePunct w:val="0"/>
        <w:autoSpaceDE/>
        <w:autoSpaceDN/>
        <w:bidi w:val="0"/>
        <w:adjustRightInd/>
        <w:snapToGrid w:val="0"/>
        <w:spacing w:line="600" w:lineRule="exact"/>
        <w:jc w:val="both"/>
        <w:textAlignment w:val="auto"/>
        <w:rPr>
          <w:rFonts w:ascii="Times New Roman" w:hAnsi="Times New Roman" w:eastAsia="创艺简标宋"/>
          <w:color w:val="000000"/>
          <w:sz w:val="44"/>
          <w:szCs w:val="44"/>
        </w:rPr>
      </w:pPr>
    </w:p>
    <w:p>
      <w:pPr>
        <w:keepNext w:val="0"/>
        <w:keepLines w:val="0"/>
        <w:pageBreakBefore w:val="0"/>
        <w:numPr>
          <w:ilvl w:val="0"/>
          <w:numId w:val="0"/>
        </w:numPr>
        <w:kinsoku/>
        <w:wordWrap/>
        <w:overflowPunct/>
        <w:topLinePunct w:val="0"/>
        <w:autoSpaceDE/>
        <w:autoSpaceDN/>
        <w:bidi w:val="0"/>
        <w:adjustRightInd/>
        <w:spacing w:line="600" w:lineRule="exact"/>
        <w:ind w:left="319" w:leftChars="152" w:firstLine="321" w:firstLineChars="1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val="0"/>
          <w:sz w:val="32"/>
          <w:szCs w:val="32"/>
          <w:lang w:eastAsia="zh-CN" w:bidi="ar"/>
        </w:rPr>
        <w:t>一、</w:t>
      </w:r>
      <w:r>
        <w:rPr>
          <w:rFonts w:hint="eastAsia" w:ascii="仿宋_GB2312" w:hAnsi="仿宋_GB2312" w:eastAsia="仿宋_GB2312" w:cs="仿宋_GB2312"/>
          <w:b/>
          <w:bCs w:val="0"/>
          <w:sz w:val="32"/>
          <w:szCs w:val="32"/>
          <w:lang w:bidi="ar"/>
        </w:rPr>
        <w:t>出租标的</w:t>
      </w:r>
      <w:r>
        <w:rPr>
          <w:rFonts w:hint="eastAsia" w:ascii="仿宋_GB2312" w:hAnsi="仿宋_GB2312" w:eastAsia="仿宋_GB2312" w:cs="仿宋_GB2312"/>
          <w:b/>
          <w:bCs w:val="0"/>
          <w:sz w:val="32"/>
          <w:szCs w:val="32"/>
          <w:lang w:eastAsia="zh-CN" w:bidi="ar"/>
        </w:rPr>
        <w:t>基本情况</w:t>
      </w:r>
      <w:r>
        <w:rPr>
          <w:rFonts w:hint="eastAsia" w:ascii="仿宋_GB2312" w:hAnsi="仿宋_GB2312" w:eastAsia="仿宋_GB2312" w:cs="仿宋_GB2312"/>
          <w:b/>
          <w:bCs w:val="0"/>
          <w:sz w:val="32"/>
          <w:szCs w:val="32"/>
          <w:lang w:bidi="ar"/>
        </w:rPr>
        <w:t>：</w:t>
      </w:r>
      <w:r>
        <w:rPr>
          <w:rFonts w:hint="eastAsia" w:ascii="仿宋_GB2312" w:hAnsi="仿宋_GB2312" w:eastAsia="仿宋_GB2312" w:cs="仿宋_GB2312"/>
          <w:color w:val="000000"/>
          <w:sz w:val="32"/>
          <w:szCs w:val="32"/>
          <w:lang w:eastAsia="zh-CN"/>
        </w:rPr>
        <w:t>位于惠州市惠城区水口街道水口圩龙和路</w:t>
      </w:r>
      <w:r>
        <w:rPr>
          <w:rFonts w:hint="eastAsia" w:ascii="仿宋_GB2312" w:hAnsi="仿宋_GB2312" w:eastAsia="仿宋_GB2312" w:cs="仿宋_GB2312"/>
          <w:color w:val="000000"/>
          <w:sz w:val="32"/>
          <w:szCs w:val="32"/>
          <w:lang w:val="en-US" w:eastAsia="zh-CN"/>
        </w:rPr>
        <w:t>6号一、二层（近东南面），房屋建筑面积约600平方米（第一次降价）。</w:t>
      </w:r>
      <w:bookmarkStart w:id="0" w:name="_GoBack"/>
      <w:bookmarkEnd w:id="0"/>
    </w:p>
    <w:p>
      <w:pPr>
        <w:keepNext w:val="0"/>
        <w:keepLines w:val="0"/>
        <w:pageBreakBefore w:val="0"/>
        <w:numPr>
          <w:ilvl w:val="0"/>
          <w:numId w:val="0"/>
        </w:numPr>
        <w:kinsoku/>
        <w:wordWrap/>
        <w:overflowPunct/>
        <w:topLinePunct w:val="0"/>
        <w:autoSpaceDE/>
        <w:autoSpaceDN/>
        <w:bidi w:val="0"/>
        <w:adjustRightInd/>
        <w:spacing w:line="360" w:lineRule="auto"/>
        <w:ind w:left="210" w:leftChars="100"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本项目以实物现状为准进行交易，租赁标的实际面积如与信息公告所标示的面积有出入，以实际面积为准。</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仿宋_GB2312" w:eastAsia="仿宋_GB2312" w:cs="仿宋_GB2312"/>
          <w:b w:val="0"/>
          <w:bCs/>
          <w:sz w:val="32"/>
          <w:szCs w:val="32"/>
          <w:lang w:eastAsia="zh-CN" w:bidi="ar"/>
        </w:rPr>
      </w:pPr>
      <w:r>
        <w:rPr>
          <w:rFonts w:hint="eastAsia" w:ascii="仿宋_GB2312" w:hAnsi="仿宋_GB2312" w:eastAsia="仿宋_GB2312" w:cs="仿宋_GB2312"/>
          <w:b/>
          <w:sz w:val="32"/>
          <w:szCs w:val="32"/>
          <w:lang w:eastAsia="zh-CN" w:bidi="ar"/>
        </w:rPr>
        <w:t>二、标的</w:t>
      </w:r>
      <w:r>
        <w:rPr>
          <w:rFonts w:hint="eastAsia" w:ascii="仿宋_GB2312" w:hAnsi="仿宋_GB2312" w:eastAsia="仿宋_GB2312" w:cs="仿宋_GB2312"/>
          <w:b/>
          <w:sz w:val="32"/>
          <w:szCs w:val="32"/>
          <w:lang w:bidi="ar"/>
        </w:rPr>
        <w:t>用途：</w:t>
      </w:r>
      <w:r>
        <w:rPr>
          <w:rFonts w:hint="eastAsia" w:ascii="仿宋_GB2312" w:hAnsi="仿宋_GB2312" w:eastAsia="仿宋_GB2312" w:cs="仿宋_GB2312"/>
          <w:b w:val="0"/>
          <w:bCs/>
          <w:sz w:val="32"/>
          <w:szCs w:val="32"/>
          <w:lang w:eastAsia="zh-CN" w:bidi="ar"/>
        </w:rPr>
        <w:t>除法律法规禁止外的项目用房。</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仿宋_GB2312" w:eastAsia="仿宋_GB2312" w:cs="仿宋_GB2312"/>
          <w:b w:val="0"/>
          <w:bCs/>
          <w:sz w:val="32"/>
          <w:szCs w:val="32"/>
          <w:lang w:eastAsia="zh-CN" w:bidi="ar"/>
        </w:rPr>
      </w:pPr>
      <w:r>
        <w:rPr>
          <w:rFonts w:hint="eastAsia" w:ascii="仿宋_GB2312" w:hAnsi="仿宋_GB2312" w:eastAsia="仿宋_GB2312" w:cs="仿宋_GB2312"/>
          <w:b/>
          <w:sz w:val="32"/>
          <w:szCs w:val="32"/>
          <w:lang w:eastAsia="zh-CN" w:bidi="ar"/>
        </w:rPr>
        <w:t>三、竞租人：</w:t>
      </w:r>
      <w:r>
        <w:rPr>
          <w:rFonts w:hint="eastAsia" w:ascii="仿宋_GB2312" w:hAnsi="仿宋_GB2312" w:eastAsia="仿宋_GB2312" w:cs="仿宋_GB2312"/>
          <w:b w:val="0"/>
          <w:bCs/>
          <w:sz w:val="32"/>
          <w:szCs w:val="32"/>
          <w:lang w:eastAsia="zh-CN" w:bidi="ar"/>
        </w:rPr>
        <w:t>竞价方须是中华人民共和国境内具有完全民事行为能力的公民；或依法注册、有效存续的企业法人，或具备合法资格的其他组织；不接受联合体报名。</w:t>
      </w:r>
    </w:p>
    <w:p>
      <w:pPr>
        <w:keepNext w:val="0"/>
        <w:keepLines w:val="0"/>
        <w:pageBreakBefore w:val="0"/>
        <w:kinsoku/>
        <w:wordWrap/>
        <w:overflowPunct/>
        <w:topLinePunct w:val="0"/>
        <w:autoSpaceDE/>
        <w:autoSpaceDN/>
        <w:bidi w:val="0"/>
        <w:adjustRightInd/>
        <w:snapToGrid w:val="0"/>
        <w:spacing w:line="360" w:lineRule="auto"/>
        <w:ind w:firstLine="643"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sz w:val="32"/>
          <w:szCs w:val="32"/>
          <w:lang w:eastAsia="zh-CN" w:bidi="ar"/>
        </w:rPr>
        <w:t>四、</w:t>
      </w:r>
      <w:r>
        <w:rPr>
          <w:rFonts w:hint="eastAsia" w:ascii="仿宋_GB2312" w:hAnsi="仿宋_GB2312" w:eastAsia="仿宋_GB2312" w:cs="仿宋_GB2312"/>
          <w:b/>
          <w:sz w:val="32"/>
          <w:szCs w:val="32"/>
          <w:lang w:bidi="ar"/>
        </w:rPr>
        <w:t>出租期限：</w:t>
      </w:r>
      <w:r>
        <w:rPr>
          <w:rFonts w:hint="eastAsia" w:ascii="仿宋_GB2312" w:hAnsi="仿宋_GB2312" w:eastAsia="仿宋_GB2312" w:cs="仿宋_GB2312"/>
          <w:color w:val="000000"/>
          <w:sz w:val="32"/>
          <w:szCs w:val="32"/>
        </w:rPr>
        <w:t>合同</w:t>
      </w:r>
      <w:r>
        <w:rPr>
          <w:rFonts w:hint="eastAsia" w:ascii="仿宋_GB2312" w:hAnsi="仿宋_GB2312" w:eastAsia="仿宋_GB2312" w:cs="仿宋_GB2312"/>
          <w:color w:val="000000"/>
          <w:sz w:val="32"/>
          <w:szCs w:val="32"/>
          <w:lang w:eastAsia="zh-CN"/>
        </w:rPr>
        <w:t>签订租期五年</w:t>
      </w:r>
    </w:p>
    <w:p>
      <w:pPr>
        <w:keepNext w:val="0"/>
        <w:keepLines w:val="0"/>
        <w:pageBreakBefore w:val="0"/>
        <w:kinsoku/>
        <w:wordWrap/>
        <w:overflowPunct/>
        <w:topLinePunct w:val="0"/>
        <w:autoSpaceDE/>
        <w:autoSpaceDN/>
        <w:bidi w:val="0"/>
        <w:adjustRightInd/>
        <w:spacing w:line="360" w:lineRule="auto"/>
        <w:ind w:firstLine="643" w:firstLineChars="200"/>
        <w:jc w:val="both"/>
        <w:textAlignment w:val="auto"/>
        <w:rPr>
          <w:rFonts w:hint="eastAsia" w:ascii="仿宋_GB2312" w:hAnsi="仿宋_GB2312" w:eastAsia="仿宋_GB2312" w:cs="仿宋_GB2312"/>
          <w:sz w:val="32"/>
          <w:szCs w:val="32"/>
          <w:lang w:eastAsia="zh-CN" w:bidi="ar"/>
        </w:rPr>
      </w:pPr>
      <w:r>
        <w:rPr>
          <w:rFonts w:hint="eastAsia" w:ascii="仿宋_GB2312" w:hAnsi="仿宋_GB2312" w:eastAsia="仿宋_GB2312" w:cs="仿宋_GB2312"/>
          <w:b/>
          <w:sz w:val="32"/>
          <w:szCs w:val="32"/>
          <w:lang w:eastAsia="zh-CN" w:bidi="ar"/>
        </w:rPr>
        <w:t>五、年租金增长率</w:t>
      </w:r>
      <w:r>
        <w:rPr>
          <w:rFonts w:hint="eastAsia" w:ascii="仿宋_GB2312" w:hAnsi="仿宋_GB2312" w:eastAsia="仿宋_GB2312" w:cs="仿宋_GB2312"/>
          <w:b/>
          <w:sz w:val="32"/>
          <w:szCs w:val="32"/>
          <w:lang w:bidi="ar"/>
        </w:rPr>
        <w:t>：</w:t>
      </w:r>
      <w:r>
        <w:rPr>
          <w:rFonts w:hint="eastAsia" w:ascii="仿宋_GB2312" w:hAnsi="仿宋_GB2312" w:eastAsia="仿宋_GB2312" w:cs="仿宋_GB2312"/>
          <w:sz w:val="32"/>
          <w:szCs w:val="32"/>
          <w:lang w:eastAsia="zh-CN" w:bidi="ar"/>
        </w:rPr>
        <w:t>无</w:t>
      </w:r>
    </w:p>
    <w:p>
      <w:pPr>
        <w:keepNext w:val="0"/>
        <w:keepLines w:val="0"/>
        <w:pageBreakBefore w:val="0"/>
        <w:kinsoku/>
        <w:wordWrap/>
        <w:overflowPunct/>
        <w:topLinePunct w:val="0"/>
        <w:autoSpaceDE/>
        <w:autoSpaceDN/>
        <w:bidi w:val="0"/>
        <w:adjustRightInd/>
        <w:spacing w:line="360" w:lineRule="auto"/>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eastAsia="zh-CN" w:bidi="ar"/>
        </w:rPr>
        <w:t>六、</w:t>
      </w:r>
      <w:r>
        <w:rPr>
          <w:rFonts w:hint="eastAsia" w:ascii="仿宋_GB2312" w:hAnsi="仿宋_GB2312" w:eastAsia="仿宋_GB2312" w:cs="仿宋_GB2312"/>
          <w:b/>
          <w:sz w:val="32"/>
          <w:szCs w:val="32"/>
          <w:lang w:bidi="ar"/>
        </w:rPr>
        <w:t>租金支付方式：</w:t>
      </w:r>
      <w:r>
        <w:rPr>
          <w:rFonts w:hint="eastAsia" w:ascii="仿宋_GB2312" w:hAnsi="仿宋_GB2312" w:eastAsia="仿宋_GB2312" w:cs="仿宋_GB2312"/>
          <w:sz w:val="32"/>
          <w:szCs w:val="32"/>
          <w:lang w:bidi="ar"/>
        </w:rPr>
        <w:t>租金按月结算，承租方将首月租金于租赁合同签订生效之日起第5个工作日内向出租方一次性支付</w:t>
      </w:r>
      <w:r>
        <w:rPr>
          <w:rFonts w:hint="eastAsia" w:ascii="仿宋_GB2312" w:hAnsi="仿宋_GB2312" w:eastAsia="仿宋_GB2312" w:cs="仿宋_GB2312"/>
          <w:sz w:val="32"/>
          <w:szCs w:val="32"/>
          <w:lang w:eastAsia="zh-CN" w:bidi="ar"/>
        </w:rPr>
        <w:t>；承租方于租赁合同签订生效之日缴纳</w:t>
      </w:r>
      <w:r>
        <w:rPr>
          <w:rFonts w:hint="eastAsia" w:ascii="仿宋_GB2312" w:hAnsi="仿宋_GB2312" w:eastAsia="仿宋_GB2312" w:cs="仿宋_GB2312"/>
          <w:sz w:val="32"/>
          <w:szCs w:val="32"/>
          <w:lang w:val="en-US" w:eastAsia="zh-CN" w:bidi="ar"/>
        </w:rPr>
        <w:t>2个月的租金作为租赁押金，押金不计息。</w:t>
      </w:r>
    </w:p>
    <w:p>
      <w:pPr>
        <w:keepNext w:val="0"/>
        <w:keepLines w:val="0"/>
        <w:pageBreakBefore w:val="0"/>
        <w:kinsoku/>
        <w:wordWrap/>
        <w:overflowPunct/>
        <w:topLinePunct w:val="0"/>
        <w:autoSpaceDE/>
        <w:autoSpaceDN/>
        <w:bidi w:val="0"/>
        <w:adjustRightInd/>
        <w:spacing w:line="360" w:lineRule="auto"/>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bidi="ar"/>
        </w:rPr>
        <w:t>七、</w:t>
      </w:r>
      <w:r>
        <w:rPr>
          <w:rFonts w:hint="eastAsia" w:ascii="仿宋_GB2312" w:hAnsi="仿宋_GB2312" w:eastAsia="仿宋_GB2312" w:cs="仿宋_GB2312"/>
          <w:b/>
          <w:sz w:val="32"/>
          <w:szCs w:val="32"/>
          <w:lang w:bidi="ar"/>
        </w:rPr>
        <w:t>意向方资格条件：</w:t>
      </w:r>
    </w:p>
    <w:p>
      <w:pPr>
        <w:keepNext w:val="0"/>
        <w:keepLines w:val="0"/>
        <w:pageBreakBefore w:val="0"/>
        <w:kinsoku/>
        <w:wordWrap/>
        <w:overflowPunct/>
        <w:topLinePunct w:val="0"/>
        <w:autoSpaceDE/>
        <w:autoSpaceDN/>
        <w:bidi w:val="0"/>
        <w:adjustRightInd/>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出租标的</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惠州市公共资源交易中心惠城分中心公开挂牌招租。</w:t>
      </w:r>
    </w:p>
    <w:p>
      <w:pPr>
        <w:keepNext w:val="0"/>
        <w:keepLines w:val="0"/>
        <w:pageBreakBefore w:val="0"/>
        <w:kinsoku/>
        <w:wordWrap/>
        <w:overflowPunct/>
        <w:topLinePunct w:val="0"/>
        <w:autoSpaceDE/>
        <w:autoSpaceDN/>
        <w:bidi w:val="0"/>
        <w:adjustRightInd/>
        <w:spacing w:line="360" w:lineRule="auto"/>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意向方未被列入</w:t>
      </w:r>
      <w:r>
        <w:rPr>
          <w:rFonts w:hint="eastAsia" w:ascii="仿宋_GB2312" w:hAnsi="仿宋_GB2312" w:eastAsia="仿宋_GB2312" w:cs="仿宋_GB2312"/>
          <w:sz w:val="32"/>
          <w:szCs w:val="32"/>
          <w:highlight w:val="none"/>
        </w:rPr>
        <w:t>经营异常</w:t>
      </w:r>
      <w:r>
        <w:rPr>
          <w:rFonts w:hint="eastAsia" w:ascii="仿宋_GB2312" w:hAnsi="仿宋_GB2312" w:eastAsia="仿宋_GB2312" w:cs="仿宋_GB2312"/>
          <w:sz w:val="32"/>
          <w:szCs w:val="32"/>
          <w:highlight w:val="none"/>
          <w:lang w:val="en-US" w:eastAsia="zh-CN"/>
        </w:rPr>
        <w:t>名录。</w:t>
      </w:r>
    </w:p>
    <w:p>
      <w:pPr>
        <w:keepNext w:val="0"/>
        <w:keepLines w:val="0"/>
        <w:pageBreakBefore w:val="0"/>
        <w:kinsoku/>
        <w:wordWrap/>
        <w:overflowPunct/>
        <w:topLinePunct w:val="0"/>
        <w:autoSpaceDE/>
        <w:autoSpaceDN/>
        <w:bidi w:val="0"/>
        <w:adjustRightInd/>
        <w:spacing w:line="360" w:lineRule="auto"/>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bidi="ar"/>
        </w:rPr>
        <w:t>八、</w:t>
      </w:r>
      <w:r>
        <w:rPr>
          <w:rFonts w:hint="eastAsia" w:ascii="仿宋_GB2312" w:hAnsi="仿宋_GB2312" w:eastAsia="仿宋_GB2312" w:cs="仿宋_GB2312"/>
          <w:b/>
          <w:bCs/>
          <w:sz w:val="32"/>
          <w:szCs w:val="32"/>
          <w:lang w:bidi="ar"/>
        </w:rPr>
        <w:t>其他事项披露</w:t>
      </w:r>
    </w:p>
    <w:p>
      <w:pPr>
        <w:keepNext w:val="0"/>
        <w:keepLines w:val="0"/>
        <w:pageBreakBefore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1.竞租人需认真阅读委托方提供的《租赁合同》版本，竞租人竞得租赁物业必须严格按照委托方提供的合同版本签订合同。</w:t>
      </w:r>
    </w:p>
    <w:p>
      <w:pPr>
        <w:keepNext w:val="0"/>
        <w:keepLines w:val="0"/>
        <w:pageBreakBefore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承租方需向出租方或第三方交纳水费、电费、排污费和城市生活垃圾处理费</w:t>
      </w:r>
      <w:r>
        <w:rPr>
          <w:rFonts w:hint="eastAsia" w:ascii="仿宋_GB2312" w:hAnsi="仿宋_GB2312" w:eastAsia="仿宋_GB2312" w:cs="仿宋_GB2312"/>
          <w:color w:val="000000"/>
          <w:sz w:val="32"/>
          <w:szCs w:val="32"/>
        </w:rPr>
        <w:t>等应由承租方承担的费用（水费、电费、排污费按实际使用量计算收费，费用收取标准以政府相关部门规定的价格为准）。</w:t>
      </w:r>
    </w:p>
    <w:p>
      <w:pPr>
        <w:pStyle w:val="4"/>
        <w:keepNext w:val="0"/>
        <w:keepLines w:val="0"/>
        <w:pageBreakBefore w:val="0"/>
        <w:widowControl/>
        <w:kinsoku/>
        <w:wordWrap/>
        <w:overflowPunct/>
        <w:topLinePunct w:val="0"/>
        <w:autoSpaceDE/>
        <w:autoSpaceDN/>
        <w:bidi w:val="0"/>
        <w:adjustRightInd/>
        <w:spacing w:line="360" w:lineRule="auto"/>
        <w:ind w:firstLine="64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bidi="ar"/>
        </w:rPr>
        <w:t>承租方不得将出租标的进行转租、分租、调换使用或抵押等。</w:t>
      </w:r>
    </w:p>
    <w:p>
      <w:pPr>
        <w:pStyle w:val="4"/>
        <w:keepNext w:val="0"/>
        <w:keepLines w:val="0"/>
        <w:pageBreakBefore w:val="0"/>
        <w:widowControl/>
        <w:kinsoku/>
        <w:wordWrap/>
        <w:overflowPunct/>
        <w:topLinePunct w:val="0"/>
        <w:autoSpaceDE/>
        <w:autoSpaceDN/>
        <w:bidi w:val="0"/>
        <w:adjustRightInd/>
        <w:spacing w:line="360" w:lineRule="auto"/>
        <w:ind w:firstLine="64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承租方不得擅自在出租标的内装修和安装设施设备。装修方案需报出租方审核同意，不得损害建筑物结构和外立面及消防管线、给排水设施；因装修产生的损坏由承租方及时自行修复，并承担相应费用。</w:t>
      </w:r>
    </w:p>
    <w:p>
      <w:pPr>
        <w:pStyle w:val="4"/>
        <w:keepNext w:val="0"/>
        <w:keepLines w:val="0"/>
        <w:pageBreakBefore w:val="0"/>
        <w:widowControl/>
        <w:kinsoku/>
        <w:wordWrap/>
        <w:overflowPunct/>
        <w:topLinePunct w:val="0"/>
        <w:autoSpaceDE/>
        <w:autoSpaceDN/>
        <w:bidi w:val="0"/>
        <w:adjustRightInd/>
        <w:spacing w:line="360" w:lineRule="auto"/>
        <w:ind w:firstLine="64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承租方不得擅自改变原有的消防安全系统及拆卸相关消防设施、不得占用消防、疏散通道，并自行评估现有消防设施是否可以满足经营需要，如需改动、增加消防设施，应报出租方及相关部门批准。</w:t>
      </w:r>
    </w:p>
    <w:p>
      <w:pPr>
        <w:pStyle w:val="4"/>
        <w:keepNext w:val="0"/>
        <w:keepLines w:val="0"/>
        <w:pageBreakBefore w:val="0"/>
        <w:widowControl/>
        <w:kinsoku/>
        <w:wordWrap/>
        <w:overflowPunct/>
        <w:topLinePunct w:val="0"/>
        <w:autoSpaceDE/>
        <w:autoSpaceDN/>
        <w:bidi w:val="0"/>
        <w:adjustRightInd/>
        <w:spacing w:line="360" w:lineRule="auto"/>
        <w:ind w:firstLine="640"/>
        <w:jc w:val="both"/>
        <w:textAlignment w:val="auto"/>
        <w:rPr>
          <w:rFonts w:hint="default" w:ascii="Times New Roman" w:hAnsi="Times New Roman" w:eastAsia="仿宋_GB2312" w:cs="Times New Roman"/>
          <w:sz w:val="32"/>
          <w:szCs w:val="32"/>
          <w:lang w:bidi="ar"/>
        </w:rPr>
      </w:pPr>
      <w:r>
        <w:rPr>
          <w:rFonts w:hint="eastAsia" w:ascii="仿宋_GB2312" w:hAnsi="仿宋_GB2312" w:eastAsia="仿宋_GB2312" w:cs="仿宋_GB2312"/>
          <w:sz w:val="32"/>
          <w:szCs w:val="32"/>
          <w:lang w:val="en-US" w:eastAsia="zh-CN" w:bidi="ar"/>
        </w:rPr>
        <w:t>6.</w:t>
      </w:r>
      <w:r>
        <w:rPr>
          <w:rFonts w:hint="eastAsia" w:ascii="仿宋_GB2312" w:hAnsi="仿宋_GB2312" w:eastAsia="仿宋_GB2312" w:cs="仿宋_GB2312"/>
          <w:sz w:val="32"/>
          <w:szCs w:val="32"/>
          <w:lang w:bidi="ar"/>
        </w:rPr>
        <w:t>承租方须自行办妥经营证照、经营许可证等相关证照及手续，并自行完善相关配套设施，如依法需由出租方提供有关资料办理的，出租方协助提供。承租方不得以出租方协助办理经营证照为由向出租方追究有关法律责任和索取任何补偿。</w:t>
      </w:r>
    </w:p>
    <w:p>
      <w:pPr>
        <w:pStyle w:val="4"/>
        <w:keepNext w:val="0"/>
        <w:keepLines w:val="0"/>
        <w:pageBreakBefore w:val="0"/>
        <w:widowControl/>
        <w:kinsoku/>
        <w:wordWrap/>
        <w:overflowPunct/>
        <w:topLinePunct w:val="0"/>
        <w:autoSpaceDE/>
        <w:autoSpaceDN/>
        <w:bidi w:val="0"/>
        <w:adjustRightInd/>
        <w:spacing w:line="360" w:lineRule="auto"/>
        <w:ind w:left="0" w:leftChars="0" w:firstLine="0" w:firstLineChars="0"/>
        <w:jc w:val="both"/>
        <w:textAlignment w:val="auto"/>
        <w:rPr>
          <w:rFonts w:hint="default" w:ascii="Times New Roman" w:hAnsi="Times New Roman" w:eastAsia="仿宋_GB2312" w:cs="Times New Roman"/>
          <w:sz w:val="32"/>
          <w:szCs w:val="32"/>
          <w:lang w:bidi="ar"/>
        </w:rPr>
      </w:pPr>
    </w:p>
    <w:p>
      <w:pPr>
        <w:pStyle w:val="4"/>
        <w:keepNext w:val="0"/>
        <w:keepLines w:val="0"/>
        <w:pageBreakBefore w:val="0"/>
        <w:widowControl/>
        <w:kinsoku/>
        <w:wordWrap/>
        <w:overflowPunct/>
        <w:topLinePunct w:val="0"/>
        <w:autoSpaceDE/>
        <w:autoSpaceDN/>
        <w:bidi w:val="0"/>
        <w:adjustRightInd/>
        <w:spacing w:line="360" w:lineRule="auto"/>
        <w:ind w:left="0" w:leftChars="0" w:firstLine="0" w:firstLineChars="0"/>
        <w:jc w:val="both"/>
        <w:textAlignment w:val="auto"/>
        <w:rPr>
          <w:rFonts w:hint="default" w:ascii="Times New Roman" w:hAnsi="Times New Roman" w:eastAsia="仿宋_GB2312" w:cs="Times New Roman"/>
          <w:sz w:val="32"/>
          <w:szCs w:val="32"/>
          <w:lang w:bidi="ar"/>
        </w:rPr>
      </w:pPr>
    </w:p>
    <w:p>
      <w:pPr>
        <w:pStyle w:val="4"/>
        <w:keepNext w:val="0"/>
        <w:keepLines w:val="0"/>
        <w:pageBreakBefore w:val="0"/>
        <w:widowControl/>
        <w:kinsoku/>
        <w:wordWrap/>
        <w:overflowPunct/>
        <w:topLinePunct w:val="0"/>
        <w:autoSpaceDE/>
        <w:autoSpaceDN/>
        <w:bidi w:val="0"/>
        <w:adjustRightInd/>
        <w:spacing w:line="360" w:lineRule="auto"/>
        <w:ind w:firstLine="640"/>
        <w:jc w:val="right"/>
        <w:textAlignment w:val="auto"/>
        <w:rPr>
          <w:rFonts w:hint="eastAsia" w:ascii="Times New Roman" w:hAnsi="Times New Roman" w:eastAsia="仿宋_GB2312" w:cs="Times New Roman"/>
          <w:sz w:val="32"/>
          <w:szCs w:val="32"/>
          <w:lang w:eastAsia="zh-CN" w:bidi="ar"/>
        </w:rPr>
      </w:pPr>
      <w:r>
        <w:rPr>
          <w:rFonts w:hint="eastAsia" w:ascii="Times New Roman" w:hAnsi="Times New Roman" w:eastAsia="仿宋_GB2312" w:cs="Times New Roman"/>
          <w:sz w:val="32"/>
          <w:szCs w:val="32"/>
          <w:lang w:eastAsia="zh-CN" w:bidi="ar"/>
        </w:rPr>
        <w:t>惠州市惠城区粮食局水口粮食管理所</w:t>
      </w:r>
    </w:p>
    <w:p>
      <w:pPr>
        <w:pStyle w:val="4"/>
        <w:keepNext w:val="0"/>
        <w:keepLines w:val="0"/>
        <w:pageBreakBefore w:val="0"/>
        <w:widowControl/>
        <w:kinsoku/>
        <w:wordWrap/>
        <w:overflowPunct/>
        <w:topLinePunct w:val="0"/>
        <w:autoSpaceDE/>
        <w:autoSpaceDN/>
        <w:bidi w:val="0"/>
        <w:adjustRightInd/>
        <w:spacing w:line="360" w:lineRule="auto"/>
        <w:ind w:firstLine="640"/>
        <w:jc w:val="center"/>
        <w:textAlignment w:val="auto"/>
        <w:rPr>
          <w:rFonts w:hint="default" w:ascii="Times New Roman" w:hAnsi="Times New Roman" w:eastAsia="仿宋_GB2312" w:cs="Times New Roman"/>
          <w:sz w:val="32"/>
          <w:szCs w:val="32"/>
          <w:lang w:val="en-US" w:eastAsia="zh-CN" w:bidi="ar"/>
        </w:rPr>
      </w:pPr>
      <w:r>
        <w:rPr>
          <w:rFonts w:hint="eastAsia" w:ascii="Times New Roman" w:hAnsi="Times New Roman" w:eastAsia="仿宋_GB2312" w:cs="Times New Roman"/>
          <w:sz w:val="32"/>
          <w:szCs w:val="32"/>
          <w:lang w:val="en-US" w:eastAsia="zh-CN" w:bidi="ar"/>
        </w:rPr>
        <w:t xml:space="preserve">                        2024年08月12日</w:t>
      </w:r>
    </w:p>
    <w:p>
      <w:pPr>
        <w:jc w:val="righ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标宋">
    <w:altName w:val="Calibri"/>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MWI2NjQzZjY3ZjZlNjZhOTVkM2QzNjhhODhkMDkifQ=="/>
  </w:docVars>
  <w:rsids>
    <w:rsidRoot w:val="1CC22789"/>
    <w:rsid w:val="1CC22789"/>
    <w:rsid w:val="1D0527ED"/>
    <w:rsid w:val="2C900F20"/>
    <w:rsid w:val="64C46F5F"/>
    <w:rsid w:val="6F92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msolistparagraph"/>
    <w:basedOn w:val="1"/>
    <w:qFormat/>
    <w:uiPriority w:val="0"/>
    <w:pPr>
      <w:ind w:firstLine="420" w:firstLineChars="200"/>
    </w:pPr>
    <w:rPr>
      <w:rFonts w:hint="eastAsia" w:ascii="等线" w:hAnsi="等线" w:eastAsia="等线"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857</Words>
  <Characters>872</Characters>
  <Lines>0</Lines>
  <Paragraphs>0</Paragraphs>
  <TotalTime>9</TotalTime>
  <ScaleCrop>false</ScaleCrop>
  <LinksUpToDate>false</LinksUpToDate>
  <CharactersWithSpaces>896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2024-07-31T07:08:00Z</dcterms:created>
  <dc:creator>Administrator</dc:creator>
  <cp:lastModifiedBy>黑马.ZF</cp:lastModifiedBy>
  <dcterms:modified xsi:type="dcterms:W3CDTF">2024-08-15T08:01:34Z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7010BEE7D3A74053AB9C6DF06FCC6AC4_11</vt:lpwstr>
  </property>
</Properties>
</file>