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(竞买人)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惠州市公共资源交易中心产权竞价系统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新增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全流程电子化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交易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功能操作指南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sz w:val="44"/>
          <w:szCs w:val="5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竞买人-系统登录地址：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fldChar w:fldCharType="begin"/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instrText xml:space="preserve"> HYPERLINK "https://cqjy.huizhou.gov.cn/Client/ClientLogin/Login" </w:instrText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fldChar w:fldCharType="separate"/>
      </w:r>
      <w:r>
        <w:rPr>
          <w:rStyle w:val="4"/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t>https://cqjy.huizhou.gov.cn/Client/ClientLogin/Login</w:t>
      </w:r>
      <w:r>
        <w:rPr>
          <w:rFonts w:hint="default" w:ascii="宋体" w:hAnsi="宋体" w:eastAsia="宋体" w:cs="宋体"/>
          <w:b/>
          <w:bCs/>
          <w:color w:val="FF0000"/>
          <w:sz w:val="32"/>
          <w:szCs w:val="32"/>
          <w:lang w:val="en-US"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both"/>
        <w:textAlignment w:val="auto"/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15875</wp:posOffset>
            </wp:positionH>
            <wp:positionV relativeFrom="paragraph">
              <wp:posOffset>133350</wp:posOffset>
            </wp:positionV>
            <wp:extent cx="6184900" cy="3244850"/>
            <wp:effectExtent l="0" t="0" r="6350" b="12700"/>
            <wp:wrapSquare wrapText="bothSides"/>
            <wp:docPr id="10" name="图片 10" descr="17019183838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17019183838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184900" cy="324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t>登录系统后进入“我的文档”菜单进行资料上传等操作。</w:t>
      </w:r>
      <w:bookmarkStart w:id="0" w:name="_GoBack"/>
      <w:bookmarkEnd w:id="0"/>
    </w:p>
    <w:p>
      <w:pP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一、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成交候选人-在线上传成交资料与合同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 1-1 上传成交资料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 xml:space="preserve">    竞价结束后，选择在线发放成交通知书的，成交候选人在登录竞价系统后，在“我的文档”--“成交通知书”栏目 上传相关成交资料(包括竞买申请与承诺、网络竞价须知、资格审查确认书等)。成交人在完成相关成交资料上传后点击“提交保存”按钮，向交易中心推送办理成交通知书信息。（如下图所示）</w:t>
      </w:r>
    </w:p>
    <w:p>
      <w:pPr>
        <w:jc w:val="both"/>
      </w:pPr>
      <w:r>
        <w:drawing>
          <wp:inline distT="0" distB="0" distL="114300" distR="114300">
            <wp:extent cx="6064250" cy="3698240"/>
            <wp:effectExtent l="0" t="0" r="12700" b="16510"/>
            <wp:docPr id="14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64250" cy="3698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  <w:r>
        <w:drawing>
          <wp:inline distT="0" distB="0" distL="114300" distR="114300">
            <wp:extent cx="6055360" cy="2006600"/>
            <wp:effectExtent l="0" t="0" r="2540" b="12700"/>
            <wp:docPr id="16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55360" cy="200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 xml:space="preserve"> 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1-2、成交候选人下载成交通知书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960" w:firstLineChars="300"/>
        <w:jc w:val="both"/>
        <w:textAlignment w:val="auto"/>
        <w:rPr>
          <w:rFonts w:hint="eastAsia" w:ascii="宋体" w:hAnsi="宋体" w:eastAsia="宋体" w:cs="宋体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z w:val="32"/>
          <w:szCs w:val="32"/>
        </w:rPr>
        <w:t>成交通知书盖章完成后，成交候选人登录竞价系统，在“我的文档”--“成交通知书”栏目 ，点击“成交通知书”，进行下载。</w:t>
      </w:r>
      <w:r>
        <w:rPr>
          <w:rFonts w:hint="eastAsia" w:ascii="宋体" w:hAnsi="宋体" w:eastAsia="宋体" w:cs="宋体"/>
          <w:sz w:val="32"/>
          <w:szCs w:val="32"/>
          <w:lang w:eastAsia="zh-CN"/>
        </w:rPr>
        <w:t>（如下图所示）</w:t>
      </w:r>
    </w:p>
    <w:p>
      <w:pPr>
        <w:jc w:val="both"/>
      </w:pPr>
      <w:r>
        <w:drawing>
          <wp:inline distT="0" distB="0" distL="114300" distR="114300">
            <wp:extent cx="6039485" cy="3535680"/>
            <wp:effectExtent l="0" t="0" r="18415" b="762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39485" cy="3535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1-3、上传成交合同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成交候选人签订合同后，选择在线上传正式成交合同的，成交候选人在登录竞价系统后，在“我的文档”--“成交通知书”栏目 点击“上传成交合同”进行合同上传。上传完成后点击“提交推送”按钮，向交易中心申请退还竞价保证金。（如下图所示）</w:t>
      </w: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6013450" cy="3705225"/>
            <wp:effectExtent l="0" t="0" r="6350" b="9525"/>
            <wp:docPr id="1" name="图片 2" descr="表格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表格&#10;&#10;描述已自动生成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13450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</w:pPr>
    </w:p>
    <w:p>
      <w:pPr>
        <w:numPr>
          <w:ilvl w:val="0"/>
          <w:numId w:val="0"/>
        </w:numPr>
        <w:jc w:val="both"/>
      </w:pPr>
      <w:r>
        <w:drawing>
          <wp:inline distT="0" distB="0" distL="114300" distR="114300">
            <wp:extent cx="6015990" cy="1580515"/>
            <wp:effectExtent l="0" t="0" r="3810" b="63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15990" cy="158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1-4、成交候选人下载交易鉴证书（除房产出售、林权转让项目外，其他项目通常无需申办产权交易鉴证书））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成交候选人上传成交合同后，由交易中心完成交易鉴证书盖章，盖章完成后，成交候选人登录竞价系统，在“我的文档”--“成交通知书”栏目 ，点击“交易鉴证书”，进行下载。（如下图所示）</w:t>
      </w:r>
    </w:p>
    <w:p>
      <w:pPr>
        <w:numPr>
          <w:ilvl w:val="0"/>
          <w:numId w:val="0"/>
        </w:numPr>
        <w:ind w:leftChars="0"/>
        <w:jc w:val="both"/>
        <w:rPr>
          <w:rFonts w:hint="eastAsia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6107430" cy="3714750"/>
            <wp:effectExtent l="0" t="0" r="7620" b="0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07430" cy="3714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both"/>
        <w:textAlignment w:val="auto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1-5、竞得人退保证金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both"/>
        <w:textAlignment w:val="auto"/>
        <w:rPr>
          <w:rFonts w:hint="eastAsia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产权部办事员在“竞得人保证金管理”界面，可查看成交候选人上传成交合同情况，见证合同后可操作退保。（如下图所示）</w:t>
      </w:r>
    </w:p>
    <w:p>
      <w:pPr>
        <w:numPr>
          <w:ilvl w:val="0"/>
          <w:numId w:val="0"/>
        </w:numPr>
        <w:ind w:leftChars="0"/>
        <w:jc w:val="both"/>
        <w:rPr>
          <w:rFonts w:hint="default"/>
          <w:sz w:val="36"/>
          <w:szCs w:val="36"/>
          <w:lang w:val="en-US" w:eastAsia="zh-CN"/>
        </w:rPr>
      </w:pPr>
      <w:r>
        <w:drawing>
          <wp:inline distT="0" distB="0" distL="114300" distR="114300">
            <wp:extent cx="6119495" cy="1769745"/>
            <wp:effectExtent l="0" t="0" r="14605" b="1905"/>
            <wp:docPr id="2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176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MzJlY2Y3YzA4ZWIyODM3OTJkZTg0YWU4Y2JkMDEifQ=="/>
  </w:docVars>
  <w:rsids>
    <w:rsidRoot w:val="3E4D2E1F"/>
    <w:rsid w:val="021C25DD"/>
    <w:rsid w:val="124B3EAA"/>
    <w:rsid w:val="13380876"/>
    <w:rsid w:val="13BC14BF"/>
    <w:rsid w:val="162254CC"/>
    <w:rsid w:val="16652CBD"/>
    <w:rsid w:val="1BE32FFE"/>
    <w:rsid w:val="3E4D2E1F"/>
    <w:rsid w:val="529B480F"/>
    <w:rsid w:val="57E15AB1"/>
    <w:rsid w:val="67E554F0"/>
    <w:rsid w:val="686B2462"/>
    <w:rsid w:val="74A05CC0"/>
    <w:rsid w:val="76CA788A"/>
    <w:rsid w:val="772F2D27"/>
    <w:rsid w:val="78D13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市委办</Company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2023-12-05T08:09:00Z</dcterms:created>
  <dc:creator>Luoyi</dc:creator>
  <cp:lastModifiedBy>WPS_1695719239</cp:lastModifiedBy>
  <dcterms:modified xsi:type="dcterms:W3CDTF">2023-12-07T03:14:32Z</dcterms:modified>
  <dc:title>惠州市公共资源交易中心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FD1785A755284AC7A03EC53AE910C606</vt:lpwstr>
  </property>
</Properties>
</file>